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98EC29F" Type="http://schemas.openxmlformats.org/officeDocument/2006/relationships/officeDocument" Target="/word/document.xml" /><Relationship Id="coreR298EC29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9410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Acuerdo de cooperación institucional, fiscal y financiero entre la Provincia de Córdoba y los Municipios y Comunas bajo su jurisdicción;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 xml:space="preserve">     </w:t>
      </w:r>
    </w:p>
    <w:p>
      <w:pPr>
        <w:spacing w:beforeAutospacing="1" w:afterAutospacing="1"/>
        <w:ind w:left="426"/>
        <w:jc w:val="both"/>
        <w:rPr>
          <w:rStyle w:val="C3"/>
          <w:rFonts w:ascii="Courier New" w:hAnsi="Courier New"/>
        </w:rPr>
      </w:pPr>
      <w:r>
        <w:rPr>
          <w:rStyle w:val="C3"/>
          <w:rFonts w:ascii="Courier New" w:hAnsi="Courier New"/>
        </w:rPr>
        <w:t>Que el acuerdo tiene como objeto establecer acciones de estado tendientes a reordenar, en un período cierto, términos y modalidades de cumplimientos de obligaciones a cargo de municipios y comunas para con el Estado Provincial a fin de aliviar la carga mensual de compromisos, de facilitar la previsión y fondeo del gasto público local, a partir de la reprogramación de pagos y la reconducción de fondos coparticipables, como así también la de estimular el trabajo conjunto.</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a través de ese acuerdo se dispuso el cese de la operatividad del Fondo Anticrisis y Saneamiento Municipal (FASAMU);</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También se dispuso la suspensión del pago de cuotas y aportes correspondientes al Fondo Permanente para la financiación de Proyectos y Programas de Gobiernos Locales de la Provincia de Córdoba (Decreto 1046/04);</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además las partes acordaron en relación al Fo.Fin.Des realizar un relevamiento, tendiente a analizar la eventual corrección de índices de distribución;</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las partes firmantes se comprometieron a una cooperación cierta y efectiva en la lucha contra la evasión fiscal, mediante el intercambio de información útil al fisco, en particular a través de acuerdos individuales entre Municipios o Comunas y las Direcciones de Rentas y Catastro;</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el acuerdo está destinado a regir un período de transición hasta la suscripción de un nuevo pacto de amplio alcance;</w:t>
      </w:r>
    </w:p>
    <w:p>
      <w:pPr>
        <w:spacing w:beforeAutospacing="1" w:afterAutospacing="1"/>
        <w:ind w:left="426"/>
        <w:jc w:val="right"/>
        <w:rPr>
          <w:rStyle w:val="C3"/>
          <w:rFonts w:ascii="Courier New" w:hAnsi="Courier New"/>
        </w:rPr>
      </w:pPr>
      <w:r>
        <w:rPr>
          <w:rStyle w:val="C3"/>
          <w:rFonts w:ascii="Courier New" w:hAnsi="Courier New"/>
        </w:rPr>
        <w:t xml:space="preserve">...///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en el contexto constitucional y legal que asegura la autonomía municipal, la cooperación y la complementación entre los Estados Provincial y Municipales, es oportuno reafirmar la vocación de concertar  y  procurar  soluciones compartidas a cuestiones y asuntos  de imprescindible tratamiento;</w:t>
      </w:r>
    </w:p>
    <w:p>
      <w:pPr>
        <w:spacing w:beforeAutospacing="1" w:afterAutospacing="1"/>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analizado el Proyecto de Ordenanza por Comisión de Legislación General la misma emite despacho favorable, aprobado por unanimidad en Sesión de fecha 14 de noviembre de 2012. </w:t>
      </w: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APRU</w:t>
      </w:r>
      <w:r>
        <w:rPr>
          <w:rStyle w:val="C3"/>
          <w:rFonts w:ascii="Courier New" w:hAnsi="Courier New"/>
          <w:b w:val="1"/>
        </w:rPr>
        <w:t>É</w:t>
      </w:r>
      <w:r>
        <w:rPr>
          <w:rStyle w:val="C3"/>
          <w:rFonts w:ascii="Courier New" w:hAnsi="Courier New"/>
          <w:b w:val="1"/>
        </w:rPr>
        <w:t xml:space="preserve">BASE </w:t>
      </w:r>
      <w:r>
        <w:rPr>
          <w:rStyle w:val="C3"/>
          <w:rFonts w:ascii="Courier New" w:hAnsi="Courier New"/>
        </w:rPr>
        <w:t xml:space="preserve">en los términos del artículo 190 de la Constitución Provincial, 101 inc. 9, 79 inc. 23  de la Carta Orgánica Municipal, el convenio de fecha 30 de agosto de 2012, denominado “Acuerdo de cooperación institucional, fiscal y financiero entre la Provincia de Córdoba y los Municipios y Comunas bajo su jurisdicción”, suscripto entre los señores Intendente Municipal y Gobernador de la Provincia, el cual como Anexo I  forma parte de la presente Ordenanza, constando de 6 fs..</w:t>
      </w:r>
    </w:p>
    <w:p>
      <w:pPr>
        <w:spacing w:beforeAutospacing="1" w:afterAutospacing="1"/>
        <w:ind w:hanging="426" w:left="426"/>
        <w:jc w:val="right"/>
        <w:rPr>
          <w:rStyle w:val="C3"/>
          <w:rFonts w:ascii="Courier New" w:hAnsi="Courier New"/>
        </w:rPr>
      </w:pPr>
    </w:p>
    <w:p>
      <w:pPr>
        <w:jc w:val="both"/>
        <w:rPr>
          <w:rStyle w:val="C3"/>
          <w:rFonts w:ascii="Courier New" w:hAnsi="Courier New"/>
          <w:b w:val="1"/>
        </w:rPr>
      </w:pPr>
      <w:r>
        <w:rPr>
          <w:rStyle w:val="C3"/>
          <w:rFonts w:ascii="Courier New" w:hAnsi="Courier New"/>
          <w:b w:val="1"/>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CATORCE DIAS DEL MES DE NOVIEMBRE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F4B89D9">
      <w:start w:val="0"/>
      <w:numFmt w:val="bullet"/>
      <w:suff w:val="tab"/>
      <w:lvlText w:val=""/>
      <w:lvlJc w:val="left"/>
      <w:pPr>
        <w:ind w:hanging="360" w:left="927"/>
      </w:pPr>
      <w:rPr>
        <w:rFonts w:ascii="Symbol" w:hAnsi="Symbol"/>
      </w:rPr>
    </w:lvl>
    <w:lvl w:ilvl="1" w:tplc="78C86124">
      <w:start w:val="1"/>
      <w:numFmt w:val="bullet"/>
      <w:suff w:val="tab"/>
      <w:lvlText w:val="o"/>
      <w:lvlJc w:val="left"/>
      <w:pPr>
        <w:ind w:hanging="360" w:left="1647"/>
      </w:pPr>
      <w:rPr>
        <w:rFonts w:ascii="Courier New" w:hAnsi="Courier New"/>
      </w:rPr>
    </w:lvl>
    <w:lvl w:ilvl="2" w:tplc="6C175968">
      <w:start w:val="1"/>
      <w:numFmt w:val="bullet"/>
      <w:suff w:val="tab"/>
      <w:lvlText w:val=""/>
      <w:lvlJc w:val="left"/>
      <w:pPr>
        <w:ind w:hanging="360" w:left="2367"/>
      </w:pPr>
      <w:rPr>
        <w:rFonts w:ascii="Wingdings" w:hAnsi="Wingdings"/>
      </w:rPr>
    </w:lvl>
    <w:lvl w:ilvl="3" w:tplc="36478312">
      <w:start w:val="1"/>
      <w:numFmt w:val="bullet"/>
      <w:suff w:val="tab"/>
      <w:lvlText w:val=""/>
      <w:lvlJc w:val="left"/>
      <w:pPr>
        <w:ind w:hanging="360" w:left="3087"/>
      </w:pPr>
      <w:rPr>
        <w:rFonts w:ascii="Symbol" w:hAnsi="Symbol"/>
      </w:rPr>
    </w:lvl>
    <w:lvl w:ilvl="4" w:tplc="192F31C0">
      <w:start w:val="1"/>
      <w:numFmt w:val="bullet"/>
      <w:suff w:val="tab"/>
      <w:lvlText w:val="o"/>
      <w:lvlJc w:val="left"/>
      <w:pPr>
        <w:ind w:hanging="360" w:left="3807"/>
      </w:pPr>
      <w:rPr>
        <w:rFonts w:ascii="Courier New" w:hAnsi="Courier New"/>
      </w:rPr>
    </w:lvl>
    <w:lvl w:ilvl="5" w:tplc="205DCA1C">
      <w:start w:val="1"/>
      <w:numFmt w:val="bullet"/>
      <w:suff w:val="tab"/>
      <w:lvlText w:val=""/>
      <w:lvlJc w:val="left"/>
      <w:pPr>
        <w:ind w:hanging="360" w:left="4527"/>
      </w:pPr>
      <w:rPr>
        <w:rFonts w:ascii="Wingdings" w:hAnsi="Wingdings"/>
      </w:rPr>
    </w:lvl>
    <w:lvl w:ilvl="6" w:tplc="5D5F0944">
      <w:start w:val="1"/>
      <w:numFmt w:val="bullet"/>
      <w:suff w:val="tab"/>
      <w:lvlText w:val=""/>
      <w:lvlJc w:val="left"/>
      <w:pPr>
        <w:ind w:hanging="360" w:left="5247"/>
      </w:pPr>
      <w:rPr>
        <w:rFonts w:ascii="Symbol" w:hAnsi="Symbol"/>
      </w:rPr>
    </w:lvl>
    <w:lvl w:ilvl="7" w:tplc="1A5FF390">
      <w:start w:val="1"/>
      <w:numFmt w:val="bullet"/>
      <w:suff w:val="tab"/>
      <w:lvlText w:val="o"/>
      <w:lvlJc w:val="left"/>
      <w:pPr>
        <w:ind w:hanging="360" w:left="5967"/>
      </w:pPr>
      <w:rPr>
        <w:rFonts w:ascii="Courier New" w:hAnsi="Courier New"/>
      </w:rPr>
    </w:lvl>
    <w:lvl w:ilvl="8" w:tplc="2BDB586F">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2FC58E1">
      <w:start w:val="0"/>
      <w:numFmt w:val="bullet"/>
      <w:suff w:val="tab"/>
      <w:lvlText w:val="-"/>
      <w:lvlJc w:val="left"/>
      <w:pPr>
        <w:ind w:hanging="360" w:left="720"/>
        <w:tabs>
          <w:tab w:val="left" w:pos="720" w:leader="none"/>
        </w:tabs>
      </w:pPr>
      <w:rPr>
        <w:rFonts w:ascii="Times New Roman" w:hAnsi="Times New Roman"/>
      </w:rPr>
    </w:lvl>
    <w:lvl w:ilvl="1" w:tplc="3E6F91D7">
      <w:start w:val="1"/>
      <w:numFmt w:val="bullet"/>
      <w:suff w:val="tab"/>
      <w:lvlText w:val="o"/>
      <w:lvlJc w:val="left"/>
      <w:pPr>
        <w:ind w:hanging="360" w:left="1440"/>
        <w:tabs>
          <w:tab w:val="left" w:pos="1440" w:leader="none"/>
        </w:tabs>
      </w:pPr>
      <w:rPr>
        <w:rFonts w:ascii="Courier New" w:hAnsi="Courier New"/>
      </w:rPr>
    </w:lvl>
    <w:lvl w:ilvl="2" w:tplc="2A2BDE0F">
      <w:start w:val="1"/>
      <w:numFmt w:val="bullet"/>
      <w:suff w:val="tab"/>
      <w:lvlText w:val=""/>
      <w:lvlJc w:val="left"/>
      <w:pPr>
        <w:ind w:hanging="360" w:left="2160"/>
        <w:tabs>
          <w:tab w:val="left" w:pos="2160" w:leader="none"/>
        </w:tabs>
      </w:pPr>
      <w:rPr>
        <w:rFonts w:ascii="Wingdings" w:hAnsi="Wingdings"/>
      </w:rPr>
    </w:lvl>
    <w:lvl w:ilvl="3" w:tplc="79136A40">
      <w:start w:val="1"/>
      <w:numFmt w:val="bullet"/>
      <w:suff w:val="tab"/>
      <w:lvlText w:val=""/>
      <w:lvlJc w:val="left"/>
      <w:pPr>
        <w:ind w:hanging="360" w:left="2880"/>
        <w:tabs>
          <w:tab w:val="left" w:pos="2880" w:leader="none"/>
        </w:tabs>
      </w:pPr>
      <w:rPr>
        <w:rFonts w:ascii="Symbol" w:hAnsi="Symbol"/>
      </w:rPr>
    </w:lvl>
    <w:lvl w:ilvl="4" w:tplc="27F2E2B7">
      <w:start w:val="1"/>
      <w:numFmt w:val="bullet"/>
      <w:suff w:val="tab"/>
      <w:lvlText w:val="o"/>
      <w:lvlJc w:val="left"/>
      <w:pPr>
        <w:ind w:hanging="360" w:left="3600"/>
        <w:tabs>
          <w:tab w:val="left" w:pos="3600" w:leader="none"/>
        </w:tabs>
      </w:pPr>
      <w:rPr>
        <w:rFonts w:ascii="Courier New" w:hAnsi="Courier New"/>
      </w:rPr>
    </w:lvl>
    <w:lvl w:ilvl="5" w:tplc="5C34FA76">
      <w:start w:val="1"/>
      <w:numFmt w:val="bullet"/>
      <w:suff w:val="tab"/>
      <w:lvlText w:val=""/>
      <w:lvlJc w:val="left"/>
      <w:pPr>
        <w:ind w:hanging="360" w:left="4320"/>
        <w:tabs>
          <w:tab w:val="left" w:pos="4320" w:leader="none"/>
        </w:tabs>
      </w:pPr>
      <w:rPr>
        <w:rFonts w:ascii="Wingdings" w:hAnsi="Wingdings"/>
      </w:rPr>
    </w:lvl>
    <w:lvl w:ilvl="6" w:tplc="338E9EBD">
      <w:start w:val="1"/>
      <w:numFmt w:val="bullet"/>
      <w:suff w:val="tab"/>
      <w:lvlText w:val=""/>
      <w:lvlJc w:val="left"/>
      <w:pPr>
        <w:ind w:hanging="360" w:left="5040"/>
        <w:tabs>
          <w:tab w:val="left" w:pos="5040" w:leader="none"/>
        </w:tabs>
      </w:pPr>
      <w:rPr>
        <w:rFonts w:ascii="Symbol" w:hAnsi="Symbol"/>
      </w:rPr>
    </w:lvl>
    <w:lvl w:ilvl="7" w:tplc="4629DE17">
      <w:start w:val="1"/>
      <w:numFmt w:val="bullet"/>
      <w:suff w:val="tab"/>
      <w:lvlText w:val="o"/>
      <w:lvlJc w:val="left"/>
      <w:pPr>
        <w:ind w:hanging="360" w:left="5760"/>
        <w:tabs>
          <w:tab w:val="left" w:pos="5760" w:leader="none"/>
        </w:tabs>
      </w:pPr>
      <w:rPr>
        <w:rFonts w:ascii="Courier New" w:hAnsi="Courier New"/>
      </w:rPr>
    </w:lvl>
    <w:lvl w:ilvl="8" w:tplc="30CE88E1">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8205FBF">
      <w:start w:val="1"/>
      <w:numFmt w:val="bullet"/>
      <w:suff w:val="tab"/>
      <w:lvlText w:val=""/>
      <w:lvlJc w:val="left"/>
      <w:pPr>
        <w:ind w:hanging="360" w:left="720"/>
        <w:tabs>
          <w:tab w:val="left" w:pos="720" w:leader="none"/>
        </w:tabs>
      </w:pPr>
      <w:rPr>
        <w:rFonts w:ascii="Symbol" w:hAnsi="Symbol"/>
      </w:rPr>
    </w:lvl>
    <w:lvl w:ilvl="1" w:tplc="031F032B">
      <w:start w:val="1"/>
      <w:numFmt w:val="bullet"/>
      <w:suff w:val="tab"/>
      <w:lvlText w:val="o"/>
      <w:lvlJc w:val="left"/>
      <w:pPr>
        <w:ind w:hanging="360" w:left="1440"/>
        <w:tabs>
          <w:tab w:val="left" w:pos="1440" w:leader="none"/>
        </w:tabs>
      </w:pPr>
      <w:rPr>
        <w:rFonts w:ascii="Courier New" w:hAnsi="Courier New"/>
      </w:rPr>
    </w:lvl>
    <w:lvl w:ilvl="2" w:tplc="75887CA7">
      <w:start w:val="1"/>
      <w:numFmt w:val="bullet"/>
      <w:suff w:val="tab"/>
      <w:lvlText w:val=""/>
      <w:lvlJc w:val="left"/>
      <w:pPr>
        <w:ind w:hanging="360" w:left="2160"/>
        <w:tabs>
          <w:tab w:val="left" w:pos="2160" w:leader="none"/>
        </w:tabs>
      </w:pPr>
      <w:rPr>
        <w:rFonts w:ascii="Wingdings" w:hAnsi="Wingdings"/>
      </w:rPr>
    </w:lvl>
    <w:lvl w:ilvl="3" w:tplc="2F9AF087">
      <w:start w:val="1"/>
      <w:numFmt w:val="bullet"/>
      <w:suff w:val="tab"/>
      <w:lvlText w:val=""/>
      <w:lvlJc w:val="left"/>
      <w:pPr>
        <w:ind w:hanging="360" w:left="2880"/>
        <w:tabs>
          <w:tab w:val="left" w:pos="2880" w:leader="none"/>
        </w:tabs>
      </w:pPr>
      <w:rPr>
        <w:rFonts w:ascii="Symbol" w:hAnsi="Symbol"/>
      </w:rPr>
    </w:lvl>
    <w:lvl w:ilvl="4" w:tplc="74273C67">
      <w:start w:val="1"/>
      <w:numFmt w:val="bullet"/>
      <w:suff w:val="tab"/>
      <w:lvlText w:val="o"/>
      <w:lvlJc w:val="left"/>
      <w:pPr>
        <w:ind w:hanging="360" w:left="3600"/>
        <w:tabs>
          <w:tab w:val="left" w:pos="3600" w:leader="none"/>
        </w:tabs>
      </w:pPr>
      <w:rPr>
        <w:rFonts w:ascii="Courier New" w:hAnsi="Courier New"/>
      </w:rPr>
    </w:lvl>
    <w:lvl w:ilvl="5" w:tplc="11553A90">
      <w:start w:val="1"/>
      <w:numFmt w:val="bullet"/>
      <w:suff w:val="tab"/>
      <w:lvlText w:val=""/>
      <w:lvlJc w:val="left"/>
      <w:pPr>
        <w:ind w:hanging="360" w:left="4320"/>
        <w:tabs>
          <w:tab w:val="left" w:pos="4320" w:leader="none"/>
        </w:tabs>
      </w:pPr>
      <w:rPr>
        <w:rFonts w:ascii="Wingdings" w:hAnsi="Wingdings"/>
      </w:rPr>
    </w:lvl>
    <w:lvl w:ilvl="6" w:tplc="5ABF6B56">
      <w:start w:val="1"/>
      <w:numFmt w:val="bullet"/>
      <w:suff w:val="tab"/>
      <w:lvlText w:val=""/>
      <w:lvlJc w:val="left"/>
      <w:pPr>
        <w:ind w:hanging="360" w:left="5040"/>
        <w:tabs>
          <w:tab w:val="left" w:pos="5040" w:leader="none"/>
        </w:tabs>
      </w:pPr>
      <w:rPr>
        <w:rFonts w:ascii="Symbol" w:hAnsi="Symbol"/>
      </w:rPr>
    </w:lvl>
    <w:lvl w:ilvl="7" w:tplc="546AB60F">
      <w:start w:val="1"/>
      <w:numFmt w:val="bullet"/>
      <w:suff w:val="tab"/>
      <w:lvlText w:val="o"/>
      <w:lvlJc w:val="left"/>
      <w:pPr>
        <w:ind w:hanging="360" w:left="5760"/>
        <w:tabs>
          <w:tab w:val="left" w:pos="5760" w:leader="none"/>
        </w:tabs>
      </w:pPr>
      <w:rPr>
        <w:rFonts w:ascii="Courier New" w:hAnsi="Courier New"/>
      </w:rPr>
    </w:lvl>
    <w:lvl w:ilvl="8" w:tplc="36CC1E6D">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4F8847E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2012-11-14T16:58:00Z</dcterms:created>
  <cp:lastModifiedBy>Ethan Puglia</cp:lastModifiedBy>
  <cp:lastPrinted>2012-07-05T16:35:00Z</cp:lastPrinted>
  <dcterms:modified xsi:type="dcterms:W3CDTF">2019-03-28T17:33:06Z</dcterms:modified>
  <cp:revision>6</cp:revision>
  <dc:title>PROYECTO DE ORDENANZA VIOLENCIA FAMILIAR</dc:title>
</cp:coreProperties>
</file>