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A4FA3D" Type="http://schemas.openxmlformats.org/officeDocument/2006/relationships/officeDocument" Target="/word/document.xml" /><Relationship Id="coreR6EA4FA3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9421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Proyecto de Ordenanza de Presupuesto para el año 2013 elevado por el Departamento Ejecutivo;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pStyle w:val="P11"/>
        <w:ind w:left="414"/>
        <w:jc w:val="center"/>
        <w:rPr>
          <w:rStyle w:val="C3"/>
          <w:b w:val="1"/>
        </w:rPr>
      </w:pPr>
    </w:p>
    <w:p>
      <w:pPr>
        <w:pStyle w:val="P11"/>
        <w:ind w:left="414"/>
      </w:pPr>
      <w:r>
        <w:t>Que el proyecto tuvo ingreso en primera lectura en sesión de fecha 31 de octubre de 2012;</w:t>
      </w:r>
    </w:p>
    <w:p>
      <w:pPr>
        <w:pStyle w:val="P11"/>
        <w:ind w:left="414"/>
      </w:pPr>
    </w:p>
    <w:p>
      <w:pPr>
        <w:pStyle w:val="P11"/>
        <w:ind w:left="414"/>
      </w:pPr>
      <w:r>
        <w:t>Que transcurrido el tiempo establecido por Carta Orgánica Municipal entre la primera y segunda lectura y realizada la Audiencia Pública correspondiente, se encuentra en condiciones de ser despachado;</w:t>
      </w:r>
    </w:p>
    <w:p>
      <w:pPr>
        <w:pStyle w:val="P11"/>
        <w:ind w:left="414"/>
      </w:pPr>
    </w:p>
    <w:p>
      <w:pPr>
        <w:pStyle w:val="P11"/>
        <w:ind w:left="414"/>
      </w:pPr>
      <w:r>
        <w:t>Que evaluado el Proyecto de Ordenanza por el Concejo constituido en Comisión, se emiten distintos despachos, aprobándose por mayoría el despacho favorable en sesión el día 5 de diciembre de 2012.</w:t>
      </w:r>
    </w:p>
    <w:p>
      <w:pPr>
        <w:pStyle w:val="P11"/>
        <w:ind w:left="414"/>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rPr>
      </w:pP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FIJASE </w:t>
      </w:r>
      <w:r>
        <w:rPr>
          <w:rStyle w:val="C3"/>
          <w:rFonts w:ascii="Courier New" w:hAnsi="Courier New"/>
        </w:rPr>
        <w:t>en la suma de</w:t>
      </w:r>
      <w:r>
        <w:rPr>
          <w:rStyle w:val="C3"/>
          <w:rFonts w:ascii="Courier New" w:hAnsi="Courier New"/>
          <w:b w:val="1"/>
        </w:rPr>
        <w:t xml:space="preserve"> $ 138.120.431,00- (Pesos: Ciento treinta y ocho millones ciento veinte mil cuatrocientos treinta y uno), </w:t>
      </w:r>
      <w:r>
        <w:rPr>
          <w:rStyle w:val="C3"/>
          <w:rFonts w:ascii="Courier New" w:hAnsi="Courier New"/>
        </w:rPr>
        <w:t>los Gastos Corrientes y de Capital del Presupuesto General de la Municipalidad de Alta Gracia para el Ejercicio 2013 con destino al cumplimiento de los objetivos propios de los Anexos que forman parte integrante de la presente Ordenanza.</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ESTIMASE </w:t>
      </w:r>
      <w:r>
        <w:rPr>
          <w:rStyle w:val="C3"/>
          <w:rFonts w:ascii="Courier New" w:hAnsi="Courier New"/>
        </w:rPr>
        <w:t>en la suma de</w:t>
      </w:r>
      <w:r>
        <w:rPr>
          <w:rStyle w:val="C3"/>
          <w:rFonts w:ascii="Courier New" w:hAnsi="Courier New"/>
          <w:b w:val="1"/>
        </w:rPr>
        <w:t xml:space="preserve"> $ 138.120.431,00- (Pesos: Ciento treinta y ocho millones ciento veinte mil cuatrocientos treinta y uno), </w:t>
      </w:r>
      <w:r>
        <w:rPr>
          <w:rStyle w:val="C3"/>
          <w:rFonts w:ascii="Courier New" w:hAnsi="Courier New"/>
        </w:rPr>
        <w:t>el calculo de recursos detallado en planillas Anexas destinadas a atender las erogaciones a que se refiere el articulo anterior.</w:t>
      </w:r>
      <w:r>
        <w:rPr>
          <w:rStyle w:val="C3"/>
          <w:rFonts w:ascii="Courier New" w:hAnsi="Courier New"/>
          <w:b w:val="1"/>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ESTIMASE </w:t>
      </w:r>
      <w:r>
        <w:rPr>
          <w:rStyle w:val="C3"/>
          <w:rFonts w:ascii="Courier New" w:hAnsi="Courier New"/>
        </w:rPr>
        <w:t>el siguiente Balance Financiero Preventivo, determinado como consecuencia de lo establecido en los artículos anteriores: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rPr>
        <w:t xml:space="preserve">   RECURSOS    $ 138.120.431,00</w:t>
      </w:r>
    </w:p>
    <w:p>
      <w:pPr>
        <w:ind w:hanging="426" w:left="426"/>
        <w:jc w:val="both"/>
        <w:rPr>
          <w:rStyle w:val="C3"/>
          <w:rFonts w:ascii="Courier New" w:hAnsi="Courier New"/>
          <w:b w:val="1"/>
        </w:rPr>
      </w:pPr>
      <w:r>
        <w:rPr>
          <w:rStyle w:val="C3"/>
          <w:rFonts w:ascii="Courier New" w:hAnsi="Courier New"/>
          <w:b w:val="1"/>
        </w:rPr>
        <w:t xml:space="preserve">       Menos: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rPr>
        <w:t xml:space="preserve">   EGRESOS     $ 1380.120.431,00</w:t>
      </w:r>
    </w:p>
    <w:p>
      <w:pPr>
        <w:ind w:hanging="426" w:left="426"/>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b w:val="1"/>
        </w:rPr>
      </w:pPr>
      <w:r>
        <w:rPr>
          <w:rStyle w:val="C3"/>
          <w:rFonts w:ascii="Courier New" w:hAnsi="Courier New"/>
          <w:b w:val="1"/>
        </w:rPr>
        <w:t xml:space="preserve">               ___________________</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rPr>
        <w:t xml:space="preserve">   EQUILIBRIO    -------O-------</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FACULTASE </w:t>
      </w:r>
      <w:r>
        <w:rPr>
          <w:rStyle w:val="C3"/>
          <w:rFonts w:ascii="Courier New" w:hAnsi="Courier New"/>
        </w:rPr>
        <w:t>al Departamento Ejecutivo a refuncionalizar, crear, modificar o fusionar Organismos hasta el nivel de jefes de Departamento, dentro de los limites presupuestarios fijados en la presente Ordenanza.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FACULTASE </w:t>
      </w:r>
      <w:r>
        <w:rPr>
          <w:rStyle w:val="C3"/>
          <w:rFonts w:ascii="Courier New" w:hAnsi="Courier New"/>
        </w:rPr>
        <w:t>al Departamento Ejecutivo para que por intermedio de la Secretaria de Economía se autoricen por decreto las modificaciones presupuestarias que impliquen compensaciones de rubros presupuestarios, de acuerdo a las siguientes condiciones:</w:t>
      </w:r>
    </w:p>
    <w:p>
      <w:pPr>
        <w:numPr>
          <w:ilvl w:val="0"/>
          <w:numId w:val="37"/>
        </w:numPr>
        <w:jc w:val="both"/>
        <w:rPr>
          <w:rStyle w:val="C3"/>
          <w:rFonts w:ascii="Courier New" w:hAnsi="Courier New"/>
          <w:b w:val="1"/>
        </w:rPr>
      </w:pPr>
      <w:r>
        <w:rPr>
          <w:rStyle w:val="C3"/>
          <w:rFonts w:ascii="Courier New" w:hAnsi="Courier New"/>
        </w:rPr>
        <w:t>Que no se modifique el monto total del Cálculo de Recursos y Presupuesto General de Gastos vigente.</w:t>
      </w:r>
    </w:p>
    <w:p>
      <w:pPr>
        <w:numPr>
          <w:ilvl w:val="0"/>
          <w:numId w:val="37"/>
        </w:numPr>
        <w:jc w:val="both"/>
        <w:rPr>
          <w:rStyle w:val="C3"/>
          <w:rFonts w:ascii="Courier New" w:hAnsi="Courier New"/>
          <w:b w:val="1"/>
        </w:rPr>
      </w:pPr>
      <w:r>
        <w:rPr>
          <w:rStyle w:val="C3"/>
          <w:rFonts w:ascii="Courier New" w:hAnsi="Courier New"/>
        </w:rPr>
        <w:t>Que no se disminuyan o incrementen los créditos acordados a cada partida de Erogaciones que se correspondan, en contrapartida, con igual crédito en el Cálculo de Recursos.</w:t>
      </w:r>
    </w:p>
    <w:p>
      <w:pPr>
        <w:numPr>
          <w:ilvl w:val="0"/>
          <w:numId w:val="37"/>
        </w:numPr>
        <w:jc w:val="both"/>
        <w:rPr>
          <w:rStyle w:val="C3"/>
          <w:rFonts w:ascii="Courier New" w:hAnsi="Courier New"/>
          <w:b w:val="1"/>
        </w:rPr>
      </w:pPr>
      <w:r>
        <w:rPr>
          <w:rStyle w:val="C3"/>
          <w:rFonts w:ascii="Courier New" w:hAnsi="Courier New"/>
        </w:rPr>
        <w:t>Que no disminuyan o incrementen los créditos acordados globalmente por nivel institucional.</w:t>
      </w:r>
    </w:p>
    <w:p>
      <w:pPr>
        <w:ind w:left="720"/>
        <w:jc w:val="both"/>
        <w:rPr>
          <w:rStyle w:val="C3"/>
          <w:rFonts w:ascii="Courier New" w:hAnsi="Courier New"/>
        </w:rPr>
      </w:pPr>
      <w:r>
        <w:rPr>
          <w:rStyle w:val="C3"/>
          <w:rFonts w:ascii="Courier New" w:hAnsi="Courier New"/>
        </w:rPr>
        <w:t>Se podrán efectuar modificaciones solo dentro de cada nivel institucional definido por esta Ordenanza de Presupuesto.</w:t>
      </w:r>
    </w:p>
    <w:p>
      <w:pPr>
        <w:ind w:left="720"/>
        <w:jc w:val="both"/>
        <w:rPr>
          <w:rStyle w:val="C3"/>
          <w:rFonts w:ascii="Courier New" w:hAnsi="Courier New"/>
        </w:rPr>
      </w:pPr>
      <w:r>
        <w:rPr>
          <w:rStyle w:val="C3"/>
          <w:rFonts w:ascii="Courier New" w:hAnsi="Courier New"/>
        </w:rPr>
        <w:t xml:space="preserve">El saldo presupuestario de los excedentes líquidos de ejercicios anteriores provenientes de cuentas con afectación especifica, integrara el saldo de rentas generales del ejercicio siguiente. </w:t>
      </w:r>
    </w:p>
    <w:p>
      <w:pPr>
        <w:ind w:left="720"/>
        <w:jc w:val="both"/>
        <w:rPr>
          <w:rStyle w:val="C3"/>
          <w:rFonts w:ascii="Courier New" w:hAnsi="Courier New"/>
        </w:rPr>
      </w:pP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...///3.-</w:t>
      </w:r>
    </w:p>
    <w:p>
      <w:pPr>
        <w:ind w:left="720"/>
        <w:jc w:val="both"/>
        <w:rPr>
          <w:rStyle w:val="C3"/>
          <w:rFonts w:ascii="Courier New" w:hAnsi="Courier New"/>
        </w:rPr>
      </w:pPr>
    </w:p>
    <w:p>
      <w:pPr>
        <w:ind w:left="720"/>
        <w:jc w:val="both"/>
        <w:rPr>
          <w:rStyle w:val="C3"/>
          <w:rFonts w:ascii="Courier New" w:hAnsi="Courier New"/>
          <w:b w:val="1"/>
        </w:rPr>
      </w:pPr>
      <w:r>
        <w:rPr>
          <w:rStyle w:val="C3"/>
          <w:rFonts w:ascii="Courier New" w:hAnsi="Courier New"/>
        </w:rPr>
        <w:t xml:space="preserve">Los saldos de las cuentas con afectación especifica dispuesta por leyes, decretos, convenios y demás normas de nivel nacional o provincial, podrán utilizarse como rentas de libre disponibilidad e cuanto exceden los gastos que se preveía atender con ellos en el periodo mencionado, siempre que su devolución se produzca al cierre del ejercicio. Si de esta utilización se derivara un beneficio financiero, este producido integrara el saldo de rentas generales. </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Art.6</w:t>
      </w:r>
      <w:r>
        <w:rPr>
          <w:rStyle w:val="C3"/>
          <w:rFonts w:ascii="Courier New" w:hAnsi="Courier New"/>
          <w:b w:val="1"/>
        </w:rPr>
        <w:t xml:space="preserve">: AFECTASE </w:t>
      </w:r>
      <w:r>
        <w:rPr>
          <w:rStyle w:val="C3"/>
          <w:rFonts w:ascii="Courier New" w:hAnsi="Courier New"/>
        </w:rPr>
        <w:t>los fondos provenientes del convenio suscripto oportunamente entre la Municipalidad, CET S.A. y Lotería de la Provincia de Córdoba Sociedad del Estado, sobre la explotación de las maquinas de juego (slots), Art. 2º, inc. a) del citado convenio, a los siguientes programas y en el porcentaje que a continuación se detalla:</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b w:val="1"/>
        </w:rPr>
      </w:pPr>
    </w:p>
    <w:p>
      <w:pPr>
        <w:ind w:left="426"/>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fldChar w:fldCharType="begin"/>
      </w:r>
      <w:r>
        <w:rPr>
          <w:rStyle w:val="C3"/>
          <w:rFonts w:ascii="Courier New" w:hAnsi="Courier New"/>
          <w:b w:val="1"/>
        </w:rPr>
        <w:instrText xml:space="preserve"> LINK </w:instrText>
      </w:r>
      <w:r>
        <w:rPr>
          <w:rStyle w:val="C3"/>
          <w:rFonts w:ascii="Courier New" w:hAnsi="Courier New"/>
          <w:b w:val="1"/>
        </w:rPr>
        <w:instrText xml:space="preserve">Excel.Sheet.12 "D:\\Documentos Usuarios\\mcros\\Mis Documentos\\Cuadro de Javi.xlsx" Hoja1!F1C1:F18C2 </w:instrText>
      </w:r>
      <w:r>
        <w:rPr>
          <w:rStyle w:val="C3"/>
          <w:rFonts w:ascii="Courier New" w:hAnsi="Courier New"/>
          <w:b w:val="1"/>
        </w:rPr>
        <w:instrText xml:space="preserve">\a \f 4 \h </w:instrText>
      </w:r>
      <w:bookmarkStart w:id="0" w:name="_1416650527"/>
      <w:bookmarkEnd w:id="0"/>
      <w:r>
        <w:rPr>
          <w:rStyle w:val="C3"/>
          <w:rFonts w:ascii="Courier New" w:hAnsi="Courier New"/>
          <w:b w:val="1"/>
        </w:rPr>
        <w:fldChar w:fldCharType="separate"/>
      </w:r>
      <w:r>
        <w:rPr>
          <w:rStyle w:val="C3"/>
          <w:rFonts w:ascii="Courier New" w:hAnsi="Courier New"/>
        </w:rPr>
        <w:t>¡Error! Vínculo no válido.</w:t>
      </w:r>
      <w:r>
        <w:rPr>
          <w:rStyle w:val="C3"/>
          <w:rFonts w:ascii="Courier New" w:hAnsi="Courier New"/>
        </w:rPr>
        <w:fldChar w:fldCharType="end"/>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rPr>
        <w:t>...///4.-</w:t>
      </w:r>
    </w:p>
    <w:p>
      <w:pPr>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r>
        <w:rPr>
          <w:rStyle w:val="C3"/>
          <w:rFonts w:ascii="Courier New" w:hAnsi="Courier New"/>
          <w:b w:val="1"/>
          <w:u w:val="single"/>
        </w:rPr>
        <w:t>Licitación</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CUANDO </w:t>
      </w:r>
      <w:r>
        <w:rPr>
          <w:rStyle w:val="C3"/>
          <w:rFonts w:ascii="Courier New" w:hAnsi="Courier New"/>
        </w:rPr>
        <w:t>el monto de la contratación supere el monto de PESOS DOS MILLONES ($2.000.000,00.-),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r>
        <w:rPr>
          <w:rStyle w:val="C3"/>
          <w:rFonts w:ascii="Courier New" w:hAnsi="Courier New"/>
          <w:b w:val="1"/>
          <w:u w:val="single"/>
        </w:rPr>
        <w:t>Concurso de Precios</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Art.8</w:t>
      </w:r>
      <w:r>
        <w:rPr>
          <w:rStyle w:val="C3"/>
          <w:rFonts w:ascii="Courier New" w:hAnsi="Courier New"/>
          <w:b w:val="1"/>
        </w:rPr>
        <w:t xml:space="preserve">: CUANDO </w:t>
      </w:r>
      <w:r>
        <w:rPr>
          <w:rStyle w:val="C3"/>
          <w:rFonts w:ascii="Courier New" w:hAnsi="Courier New"/>
        </w:rPr>
        <w:t xml:space="preserve">el monto de la contratación supere la suma de PESOS TRESCIENTOS MIL ($300.000,00.-) la selección del contratista se efectuará mediante Concurso de Precios dispuesto por Decreto del Departamento Ejecutivo Municipal. Dicho tope podrá no ser de aplicación  para el caso establecido en la última parte del art.10 pudiendo en ese respecto operar el Concurso sin límite en su monto cuando así se decida.</w:t>
      </w:r>
    </w:p>
    <w:p>
      <w:pPr>
        <w:ind w:hanging="426" w:left="426"/>
        <w:jc w:val="both"/>
        <w:rPr>
          <w:rStyle w:val="C3"/>
          <w:rFonts w:ascii="Courier New" w:hAnsi="Courier New"/>
          <w:b w:val="1"/>
        </w:rPr>
      </w:pPr>
      <w:r>
        <w:rPr>
          <w:rStyle w:val="C3"/>
          <w:rFonts w:ascii="Courier New" w:hAnsi="Courier New"/>
          <w:b w:val="1"/>
        </w:rPr>
        <w:t xml:space="preserve"> </w:t>
      </w:r>
    </w:p>
    <w:p>
      <w:pPr>
        <w:jc w:val="both"/>
        <w:rPr>
          <w:rStyle w:val="C3"/>
          <w:rFonts w:ascii="Courier New" w:hAnsi="Courier New"/>
          <w:b w:val="1"/>
          <w:u w:val="single"/>
        </w:rPr>
      </w:pPr>
      <w:r>
        <w:rPr>
          <w:rStyle w:val="C3"/>
          <w:rFonts w:ascii="Courier New" w:hAnsi="Courier New"/>
          <w:b w:val="1"/>
          <w:u w:val="single"/>
        </w:rPr>
        <w:t>Concurso Privado de Precios</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rPr>
        <w:t xml:space="preserve">Art.9: CUANDO </w:t>
      </w:r>
      <w:r>
        <w:rPr>
          <w:rStyle w:val="C3"/>
          <w:rFonts w:ascii="Courier New" w:hAnsi="Courier New"/>
        </w:rPr>
        <w:t>el monto de la contratación supere la suma de PESOS CIEN MIL ($100.000,00.-), sin exceder de PESOS TRESCIENTOS MIL ($300.000,00.-) la selección del contratista se efectuara mediante Concurso Privado de Precios.</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u w:val="single"/>
        </w:rPr>
      </w:pPr>
      <w:r>
        <w:rPr>
          <w:rStyle w:val="C3"/>
          <w:rFonts w:ascii="Courier New" w:hAnsi="Courier New"/>
          <w:b w:val="1"/>
          <w:u w:val="single"/>
        </w:rPr>
        <w:t>Contratación Directa</w:t>
      </w:r>
    </w:p>
    <w:p>
      <w:pPr>
        <w:jc w:val="both"/>
        <w:rPr>
          <w:rStyle w:val="C3"/>
          <w:rFonts w:ascii="Courier New" w:hAnsi="Courier New"/>
          <w:b w:val="1"/>
          <w:u w:val="single"/>
        </w:rPr>
      </w:pPr>
    </w:p>
    <w:p>
      <w:pPr>
        <w:jc w:val="both"/>
        <w:rPr>
          <w:rStyle w:val="C3"/>
          <w:rFonts w:ascii="Courier New" w:hAnsi="Courier New"/>
          <w:b w:val="1"/>
          <w:u w:val="single"/>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AUTORIZASE </w:t>
      </w:r>
      <w:r>
        <w:rPr>
          <w:rStyle w:val="C3"/>
          <w:rFonts w:ascii="Courier New" w:hAnsi="Courier New"/>
        </w:rPr>
        <w:t>al Departamento Ejecutivo a contratar en forma directa en los siguientes casos:</w:t>
      </w:r>
    </w:p>
    <w:p>
      <w:pPr>
        <w:numPr>
          <w:ilvl w:val="0"/>
          <w:numId w:val="38"/>
        </w:numPr>
        <w:ind w:firstLine="0" w:left="426"/>
        <w:jc w:val="both"/>
        <w:rPr>
          <w:rStyle w:val="C3"/>
          <w:rFonts w:ascii="Courier New" w:hAnsi="Courier New"/>
        </w:rPr>
      </w:pPr>
      <w:r>
        <w:rPr>
          <w:rStyle w:val="C3"/>
          <w:rFonts w:ascii="Courier New" w:hAnsi="Courier New"/>
        </w:rPr>
        <w:t>Cuando el monto de la contratación no supere la suma de PESOS DIEZ MIL ($10.000,00.-) y puedan atenderse con los créditos disponibles que tengan asignados por las Partidas del Presupuesto de Gastos vigente como mínimo con un presupuesto.</w:t>
      </w:r>
    </w:p>
    <w:p>
      <w:pPr>
        <w:spacing w:lineRule="auto" w:line="276"/>
        <w:ind w:left="426"/>
        <w:jc w:val="both"/>
        <w:rPr>
          <w:rStyle w:val="C3"/>
          <w:rFonts w:ascii="Courier New" w:hAnsi="Courier New"/>
        </w:rPr>
      </w:pPr>
      <w:r>
        <w:rPr>
          <w:rStyle w:val="C3"/>
          <w:rFonts w:ascii="Courier New" w:hAnsi="Courier New"/>
        </w:rPr>
        <w:t>2) Cuando el monto de la contratación supere la suma de DIEZ MIL (410.000,00.-) y no excediendo la suma de PESOS SESENTA MIL ($60.000,00.-) y pueda atenderse por los créditos disponibles que tengan asignados por las Partidas del Presupuesto de Gastos vigente, como mínimo con dos (2) presupuestos.</w:t>
      </w:r>
    </w:p>
    <w:p>
      <w:pPr>
        <w:pStyle w:val="P17"/>
        <w:spacing w:lineRule="auto" w:line="276"/>
        <w:ind w:left="426"/>
        <w:rPr>
          <w:rStyle w:val="C3"/>
          <w:b w:val="1"/>
        </w:rPr>
      </w:pPr>
      <w:r>
        <w:rPr>
          <w:rStyle w:val="C3"/>
          <w:b w:val="0"/>
        </w:rPr>
        <w:t xml:space="preserve">3) Cuando el monto supere la suma de PESOS SESENTA MIL ($60.000,00.-) sin exceder la suma de PESOS CIEN MIL ($100.000,00.-) </w:t>
      </w:r>
      <w:r>
        <w:rPr>
          <w:rStyle w:val="C3"/>
          <w:b w:val="0"/>
        </w:rPr>
        <w:t>como mínimo con tres (3) presupuestos</w:t>
      </w:r>
      <w:r>
        <w:rPr>
          <w:rStyle w:val="C3"/>
          <w:b w:val="0"/>
        </w:rPr>
        <w:t>.</w:t>
      </w:r>
    </w:p>
    <w:p>
      <w:pPr>
        <w:pStyle w:val="P17"/>
        <w:spacing w:lineRule="auto" w:line="276"/>
        <w:ind w:left="426"/>
        <w:rPr>
          <w:rStyle w:val="C3"/>
        </w:rPr>
      </w:pPr>
    </w:p>
    <w:p>
      <w:pPr>
        <w:pStyle w:val="P17"/>
        <w:spacing w:lineRule="auto" w:line="276"/>
        <w:ind w:hanging="426" w:left="426"/>
        <w:rPr>
          <w:rStyle w:val="C3"/>
          <w:u w:val="single"/>
        </w:rPr>
      </w:pPr>
      <w:r>
        <w:rPr>
          <w:rStyle w:val="C3"/>
          <w:u w:val="single"/>
        </w:rPr>
        <w:t>Recursos: Recaudos y Perceptores</w:t>
      </w:r>
    </w:p>
    <w:p>
      <w:pPr>
        <w:pStyle w:val="P17"/>
        <w:spacing w:lineRule="auto" w:line="276"/>
        <w:ind w:hanging="426" w:left="426"/>
        <w:rPr>
          <w:rStyle w:val="C3"/>
          <w:u w:val="single"/>
        </w:rPr>
      </w:pPr>
    </w:p>
    <w:p>
      <w:pPr>
        <w:pStyle w:val="P17"/>
        <w:spacing w:lineRule="auto" w:line="276"/>
        <w:ind w:hanging="426" w:left="426"/>
        <w:rPr>
          <w:rStyle w:val="C3"/>
          <w:u w:val="single"/>
        </w:rPr>
      </w:pPr>
    </w:p>
    <w:p>
      <w:pPr>
        <w:pStyle w:val="P17"/>
        <w:spacing w:lineRule="auto" w:line="276"/>
        <w:ind w:hanging="426" w:left="426"/>
        <w:rPr>
          <w:rStyle w:val="C3"/>
          <w:b w:val="1"/>
        </w:rPr>
      </w:pPr>
      <w:r>
        <w:rPr>
          <w:rStyle w:val="C3"/>
          <w:u w:val="single"/>
        </w:rPr>
        <w:t>Art.11</w:t>
      </w:r>
      <w:r>
        <w:t xml:space="preserve">: LA </w:t>
      </w:r>
      <w:r>
        <w:rPr>
          <w:rStyle w:val="C3"/>
          <w:b w:val="0"/>
        </w:rPr>
        <w:t xml:space="preserve">recaudación, el control y verificación de los recursos estará a cargo de la Tesorería Central Municipal. </w:t>
      </w:r>
      <w:r>
        <w:rPr>
          <w:rStyle w:val="C3"/>
          <w:b w:val="0"/>
        </w:rPr>
        <w:t>Su</w:t>
      </w:r>
      <w:r>
        <w:rPr>
          <w:rStyle w:val="C3"/>
          <w:b w:val="0"/>
        </w:rPr>
        <w:t xml:space="preserve"> percepción se realizara por medio de la Caja Municipal, del Sistema Financiero y de otras Instituciones autorizadas por el Departamento Ejecutivo.</w:t>
      </w:r>
    </w:p>
    <w:p>
      <w:pPr>
        <w:pStyle w:val="P17"/>
        <w:spacing w:lineRule="auto" w:line="276"/>
        <w:ind w:hanging="426" w:left="426"/>
        <w:rPr>
          <w:rStyle w:val="C3"/>
        </w:rPr>
      </w:pPr>
    </w:p>
    <w:p>
      <w:pPr>
        <w:pStyle w:val="P17"/>
        <w:spacing w:lineRule="auto" w:line="276"/>
        <w:ind w:hanging="426" w:left="426"/>
        <w:rPr>
          <w:rStyle w:val="C3"/>
        </w:rPr>
      </w:pPr>
    </w:p>
    <w:p>
      <w:pPr>
        <w:pStyle w:val="P17"/>
        <w:spacing w:lineRule="auto" w:line="276"/>
        <w:ind w:hanging="426" w:left="426"/>
        <w:rPr>
          <w:rStyle w:val="C3"/>
          <w:u w:val="single"/>
        </w:rPr>
      </w:pPr>
      <w:r>
        <w:rPr>
          <w:rStyle w:val="C3"/>
          <w:u w:val="single"/>
        </w:rPr>
        <w:t>Fondos Fijos</w:t>
      </w:r>
    </w:p>
    <w:p>
      <w:pPr>
        <w:pStyle w:val="P17"/>
        <w:spacing w:lineRule="auto" w:line="276"/>
        <w:rPr>
          <w:rStyle w:val="C3"/>
          <w:u w:val="single"/>
        </w:rPr>
      </w:pPr>
    </w:p>
    <w:p>
      <w:pPr>
        <w:pStyle w:val="P17"/>
        <w:spacing w:lineRule="auto" w:line="276"/>
        <w:ind w:hanging="426" w:left="426"/>
        <w:rPr>
          <w:rStyle w:val="C3"/>
          <w:b w:val="1"/>
        </w:rPr>
      </w:pPr>
      <w:r>
        <w:rPr>
          <w:rStyle w:val="C3"/>
          <w:u w:val="single"/>
        </w:rPr>
        <w:t>Art.12</w:t>
      </w:r>
      <w:r>
        <w:t xml:space="preserve">: EL </w:t>
      </w:r>
      <w:r>
        <w:rPr>
          <w:rStyle w:val="C3"/>
          <w:b w:val="0"/>
        </w:rPr>
        <w:t>Departamento Ejecutivo podrá autorizar la creación de Fondos Fijos o Cajas Chicas, de conformidad al régimen establecido por la Ordenanza Nº 2780 art.6ª, y sus modificatorias, para su utilización en la atención de pagos cuya característica, modalidad o urgencia no permite aguardar la respectiva visaci</w:t>
      </w:r>
      <w:r>
        <w:rPr>
          <w:rStyle w:val="C3"/>
          <w:b w:val="0"/>
        </w:rPr>
        <w:t>ó</w:t>
      </w:r>
      <w:r>
        <w:rPr>
          <w:rStyle w:val="C3"/>
          <w:b w:val="0"/>
        </w:rPr>
        <w:t>n previa del compromiso de gastos, o para los gastos de menor cuant</w:t>
      </w:r>
      <w:r>
        <w:rPr>
          <w:rStyle w:val="C3"/>
          <w:b w:val="0"/>
        </w:rPr>
        <w:t>í</w:t>
      </w:r>
      <w:r>
        <w:rPr>
          <w:rStyle w:val="C3"/>
          <w:b w:val="0"/>
        </w:rPr>
        <w:t>a que daban abonarse al contado para solucionar problemas momentáneos del servicio o adquirir elementos de escaso valor</w:t>
      </w:r>
      <w:r>
        <w:rPr>
          <w:rStyle w:val="C3"/>
          <w:b w:val="0"/>
        </w:rPr>
        <w:t xml:space="preserve"> </w:t>
      </w:r>
      <w:r>
        <w:rPr>
          <w:rStyle w:val="C3"/>
          <w:b w:val="0"/>
        </w:rPr>
        <w:t xml:space="preserve">cuya </w:t>
      </w:r>
      <w:r>
        <w:rPr>
          <w:rStyle w:val="C3"/>
          <w:b w:val="0"/>
        </w:rPr>
        <w:t xml:space="preserve"> </w:t>
      </w:r>
      <w:r>
        <w:rPr>
          <w:rStyle w:val="C3"/>
          <w:b w:val="0"/>
        </w:rPr>
        <w:t>necesidad se</w:t>
      </w:r>
      <w:r>
        <w:rPr>
          <w:rStyle w:val="C3"/>
          <w:b w:val="0"/>
        </w:rPr>
        <w:t xml:space="preserve"> </w:t>
      </w:r>
      <w:r>
        <w:rPr>
          <w:rStyle w:val="C3"/>
          <w:b w:val="0"/>
        </w:rPr>
        <w:t>presenta imprevistamente.</w:t>
      </w:r>
    </w:p>
    <w:p>
      <w:pPr>
        <w:pStyle w:val="P17"/>
        <w:spacing w:lineRule="auto" w:line="276"/>
        <w:ind w:hanging="426" w:left="426"/>
        <w:jc w:val="right"/>
        <w:rPr>
          <w:rStyle w:val="C3"/>
          <w:b w:val="1"/>
        </w:rPr>
      </w:pPr>
      <w:r>
        <w:rPr>
          <w:rStyle w:val="C3"/>
          <w:b w:val="0"/>
        </w:rPr>
        <w:t>...///</w:t>
      </w:r>
    </w:p>
    <w:p>
      <w:pPr>
        <w:pStyle w:val="P17"/>
        <w:spacing w:lineRule="auto" w:line="276"/>
        <w:ind w:hanging="426" w:left="426"/>
        <w:rPr>
          <w:rStyle w:val="C3"/>
          <w:b w:val="1"/>
        </w:rPr>
      </w:pPr>
      <w:r>
        <w:rPr>
          <w:rStyle w:val="C3"/>
          <w:b w:val="0"/>
        </w:rPr>
        <w:t xml:space="preserve"> </w:t>
      </w:r>
      <w:r>
        <w:rPr>
          <w:rStyle w:val="C3"/>
          <w:b w:val="0"/>
        </w:rPr>
        <w:t xml:space="preserve">  </w:t>
      </w:r>
    </w:p>
    <w:p>
      <w:pPr>
        <w:pStyle w:val="P17"/>
        <w:spacing w:lineRule="auto" w:line="276"/>
        <w:ind w:hanging="426" w:left="426"/>
        <w:rPr>
          <w:rStyle w:val="C3"/>
          <w:b w:val="1"/>
        </w:rPr>
      </w:pPr>
    </w:p>
    <w:p>
      <w:pPr>
        <w:pStyle w:val="P17"/>
        <w:spacing w:lineRule="auto" w:line="276"/>
        <w:ind w:hanging="426" w:left="426"/>
        <w:rPr>
          <w:rStyle w:val="C3"/>
          <w:b w:val="1"/>
        </w:rPr>
      </w:pPr>
    </w:p>
    <w:p>
      <w:pPr>
        <w:pStyle w:val="P17"/>
        <w:spacing w:lineRule="auto" w:line="276"/>
        <w:ind w:hanging="426" w:left="426"/>
        <w:rPr>
          <w:rStyle w:val="C3"/>
          <w:b w:val="1"/>
        </w:rPr>
      </w:pPr>
    </w:p>
    <w:p>
      <w:pPr>
        <w:pStyle w:val="P17"/>
        <w:spacing w:lineRule="auto" w:line="276"/>
        <w:ind w:hanging="426" w:left="426"/>
        <w:rPr>
          <w:rStyle w:val="C3"/>
          <w:b w:val="1"/>
        </w:rPr>
      </w:pPr>
      <w:r>
        <w:rPr>
          <w:rStyle w:val="C3"/>
          <w:b w:val="0"/>
        </w:rPr>
        <w:t>...///6.-</w:t>
      </w:r>
    </w:p>
    <w:p>
      <w:pPr>
        <w:pStyle w:val="P17"/>
        <w:spacing w:lineRule="auto" w:line="276"/>
        <w:ind w:hanging="426" w:left="426"/>
        <w:rPr>
          <w:rStyle w:val="C3"/>
          <w:b w:val="1"/>
        </w:rPr>
      </w:pPr>
    </w:p>
    <w:p>
      <w:pPr>
        <w:pStyle w:val="P17"/>
        <w:spacing w:lineRule="auto" w:line="276"/>
        <w:ind w:hanging="426" w:left="426"/>
        <w:rPr>
          <w:rStyle w:val="C3"/>
          <w:b w:val="1"/>
        </w:rPr>
      </w:pPr>
    </w:p>
    <w:p>
      <w:pPr>
        <w:pStyle w:val="P17"/>
        <w:spacing w:lineRule="auto" w:line="276"/>
        <w:ind w:hanging="426" w:left="426"/>
        <w:rPr>
          <w:rStyle w:val="C3"/>
          <w:b w:val="1"/>
        </w:rPr>
      </w:pPr>
      <w:r>
        <w:rPr>
          <w:rStyle w:val="C3"/>
          <w:b w:val="0"/>
        </w:rPr>
        <w:t xml:space="preserve">   </w:t>
      </w:r>
      <w:r>
        <w:rPr>
          <w:rStyle w:val="C3"/>
          <w:b w:val="0"/>
        </w:rPr>
        <w:t>El monto total correspondiente a los Fondos Fijos que se creen, no podrá superar en conjunto la suma de PESOS TREINTA MIL ($30.000,00).</w:t>
      </w:r>
    </w:p>
    <w:p>
      <w:pPr>
        <w:pStyle w:val="P17"/>
        <w:spacing w:lineRule="auto" w:line="276"/>
        <w:ind w:hanging="426" w:left="426"/>
        <w:rPr>
          <w:rStyle w:val="C3"/>
          <w:b w:val="1"/>
        </w:rPr>
      </w:pPr>
      <w:r>
        <w:rPr>
          <w:rStyle w:val="C3"/>
          <w:b w:val="0"/>
        </w:rPr>
        <w:t xml:space="preserve">   En caso de erogaciones financiadas con fondos provenientes del FODEMEEP (fondo para la Descentralización del Mantenimiento de Edificios Escolares Provinciales), no correrán las limitaciones establecidas en el párrafo anterior.</w:t>
      </w:r>
    </w:p>
    <w:p>
      <w:pPr>
        <w:pStyle w:val="P17"/>
        <w:spacing w:lineRule="auto" w:line="276"/>
        <w:ind w:hanging="426" w:left="426"/>
        <w:rPr>
          <w:rStyle w:val="C3"/>
        </w:rPr>
      </w:pPr>
    </w:p>
    <w:p>
      <w:pPr>
        <w:pStyle w:val="P17"/>
        <w:spacing w:lineRule="auto" w:line="276"/>
        <w:ind w:hanging="426" w:left="426"/>
        <w:rPr>
          <w:rStyle w:val="C3"/>
        </w:rPr>
      </w:pPr>
    </w:p>
    <w:p>
      <w:pPr>
        <w:pStyle w:val="P17"/>
        <w:spacing w:lineRule="auto" w:line="276"/>
        <w:ind w:hanging="426" w:left="426"/>
        <w:rPr>
          <w:rStyle w:val="C3"/>
          <w:b w:val="1"/>
          <w:u w:val="single"/>
        </w:rPr>
      </w:pPr>
      <w:r>
        <w:rPr>
          <w:rStyle w:val="C3"/>
          <w:u w:val="single"/>
        </w:rPr>
        <w:t>Art.13</w:t>
      </w:r>
      <w:r>
        <w:t>:PROTOCOLÍCESE</w:t>
      </w:r>
      <w:r>
        <w:rPr>
          <w:rStyle w:val="C3"/>
          <w:b w:val="0"/>
        </w:rPr>
        <w:t>, comuníquese, publíquese, transcríbase al Libro de Ordenanzas y archívese.</w:t>
      </w:r>
    </w:p>
    <w:p>
      <w:pPr>
        <w:pStyle w:val="P17"/>
        <w:rPr>
          <w:rStyle w:val="C3"/>
        </w:rPr>
      </w:pPr>
    </w:p>
    <w:p>
      <w:pPr>
        <w:pStyle w:val="P17"/>
        <w:rPr>
          <w:rStyle w:val="C3"/>
        </w:rPr>
      </w:pPr>
    </w:p>
    <w:p>
      <w:pPr>
        <w:pStyle w:val="P17"/>
      </w:pPr>
      <w:r>
        <w:t xml:space="preserve">DADA EN LA SALA DE SESIONES DEL HONORABLE CONCEJO DELIBERANTE A LOS CINCO DÍAS DEL MES DICIEMBRE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DB65D65">
      <w:start w:val="0"/>
      <w:numFmt w:val="bullet"/>
      <w:suff w:val="tab"/>
      <w:lvlText w:val=""/>
      <w:lvlJc w:val="left"/>
      <w:pPr>
        <w:ind w:hanging="360" w:left="927"/>
      </w:pPr>
      <w:rPr>
        <w:rFonts w:ascii="Symbol" w:hAnsi="Symbol"/>
      </w:rPr>
    </w:lvl>
    <w:lvl w:ilvl="1" w:tplc="203E760A">
      <w:start w:val="1"/>
      <w:numFmt w:val="bullet"/>
      <w:suff w:val="tab"/>
      <w:lvlText w:val="o"/>
      <w:lvlJc w:val="left"/>
      <w:pPr>
        <w:ind w:hanging="360" w:left="1647"/>
      </w:pPr>
      <w:rPr>
        <w:rFonts w:ascii="Courier New" w:hAnsi="Courier New"/>
      </w:rPr>
    </w:lvl>
    <w:lvl w:ilvl="2" w:tplc="24FAF345">
      <w:start w:val="1"/>
      <w:numFmt w:val="bullet"/>
      <w:suff w:val="tab"/>
      <w:lvlText w:val=""/>
      <w:lvlJc w:val="left"/>
      <w:pPr>
        <w:ind w:hanging="360" w:left="2367"/>
      </w:pPr>
      <w:rPr>
        <w:rFonts w:ascii="Wingdings" w:hAnsi="Wingdings"/>
      </w:rPr>
    </w:lvl>
    <w:lvl w:ilvl="3" w:tplc="10ACC3C5">
      <w:start w:val="1"/>
      <w:numFmt w:val="bullet"/>
      <w:suff w:val="tab"/>
      <w:lvlText w:val=""/>
      <w:lvlJc w:val="left"/>
      <w:pPr>
        <w:ind w:hanging="360" w:left="3087"/>
      </w:pPr>
      <w:rPr>
        <w:rFonts w:ascii="Symbol" w:hAnsi="Symbol"/>
      </w:rPr>
    </w:lvl>
    <w:lvl w:ilvl="4" w:tplc="014097EE">
      <w:start w:val="1"/>
      <w:numFmt w:val="bullet"/>
      <w:suff w:val="tab"/>
      <w:lvlText w:val="o"/>
      <w:lvlJc w:val="left"/>
      <w:pPr>
        <w:ind w:hanging="360" w:left="3807"/>
      </w:pPr>
      <w:rPr>
        <w:rFonts w:ascii="Courier New" w:hAnsi="Courier New"/>
      </w:rPr>
    </w:lvl>
    <w:lvl w:ilvl="5" w:tplc="6A8E8D37">
      <w:start w:val="1"/>
      <w:numFmt w:val="bullet"/>
      <w:suff w:val="tab"/>
      <w:lvlText w:val=""/>
      <w:lvlJc w:val="left"/>
      <w:pPr>
        <w:ind w:hanging="360" w:left="4527"/>
      </w:pPr>
      <w:rPr>
        <w:rFonts w:ascii="Wingdings" w:hAnsi="Wingdings"/>
      </w:rPr>
    </w:lvl>
    <w:lvl w:ilvl="6" w:tplc="1B5CA778">
      <w:start w:val="1"/>
      <w:numFmt w:val="bullet"/>
      <w:suff w:val="tab"/>
      <w:lvlText w:val=""/>
      <w:lvlJc w:val="left"/>
      <w:pPr>
        <w:ind w:hanging="360" w:left="5247"/>
      </w:pPr>
      <w:rPr>
        <w:rFonts w:ascii="Symbol" w:hAnsi="Symbol"/>
      </w:rPr>
    </w:lvl>
    <w:lvl w:ilvl="7" w:tplc="1651F178">
      <w:start w:val="1"/>
      <w:numFmt w:val="bullet"/>
      <w:suff w:val="tab"/>
      <w:lvlText w:val="o"/>
      <w:lvlJc w:val="left"/>
      <w:pPr>
        <w:ind w:hanging="360" w:left="5967"/>
      </w:pPr>
      <w:rPr>
        <w:rFonts w:ascii="Courier New" w:hAnsi="Courier New"/>
      </w:rPr>
    </w:lvl>
    <w:lvl w:ilvl="8" w:tplc="146BF9C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28B7647"/>
    <w:multiLevelType w:val="hybridMultilevel"/>
    <w:lvl w:ilvl="0" w:tplc="67F7E95C">
      <w:start w:val="1"/>
      <w:numFmt w:val="bullet"/>
      <w:suff w:val="tab"/>
      <w:lvlText w:val=""/>
      <w:lvlJc w:val="left"/>
      <w:pPr>
        <w:ind w:hanging="360" w:left="720"/>
      </w:pPr>
      <w:rPr>
        <w:rFonts w:ascii="Symbol" w:hAnsi="Symbol"/>
      </w:rPr>
    </w:lvl>
    <w:lvl w:ilvl="1" w:tplc="55D3AF6D">
      <w:start w:val="1"/>
      <w:numFmt w:val="bullet"/>
      <w:suff w:val="tab"/>
      <w:lvlText w:val="o"/>
      <w:lvlJc w:val="left"/>
      <w:pPr>
        <w:ind w:hanging="360" w:left="1440"/>
      </w:pPr>
      <w:rPr>
        <w:rFonts w:ascii="Courier New" w:hAnsi="Courier New"/>
      </w:rPr>
    </w:lvl>
    <w:lvl w:ilvl="2" w:tplc="59EA1785">
      <w:start w:val="1"/>
      <w:numFmt w:val="bullet"/>
      <w:suff w:val="tab"/>
      <w:lvlText w:val=""/>
      <w:lvlJc w:val="left"/>
      <w:pPr>
        <w:ind w:hanging="360" w:left="2160"/>
      </w:pPr>
      <w:rPr>
        <w:rFonts w:ascii="Wingdings" w:hAnsi="Wingdings"/>
      </w:rPr>
    </w:lvl>
    <w:lvl w:ilvl="3" w:tplc="4755F91E">
      <w:start w:val="1"/>
      <w:numFmt w:val="bullet"/>
      <w:suff w:val="tab"/>
      <w:lvlText w:val=""/>
      <w:lvlJc w:val="left"/>
      <w:pPr>
        <w:ind w:hanging="360" w:left="2880"/>
      </w:pPr>
      <w:rPr>
        <w:rFonts w:ascii="Symbol" w:hAnsi="Symbol"/>
      </w:rPr>
    </w:lvl>
    <w:lvl w:ilvl="4" w:tplc="3F4621D1">
      <w:start w:val="1"/>
      <w:numFmt w:val="bullet"/>
      <w:suff w:val="tab"/>
      <w:lvlText w:val="o"/>
      <w:lvlJc w:val="left"/>
      <w:pPr>
        <w:ind w:hanging="360" w:left="3600"/>
      </w:pPr>
      <w:rPr>
        <w:rFonts w:ascii="Courier New" w:hAnsi="Courier New"/>
      </w:rPr>
    </w:lvl>
    <w:lvl w:ilvl="5" w:tplc="14B426E2">
      <w:start w:val="1"/>
      <w:numFmt w:val="bullet"/>
      <w:suff w:val="tab"/>
      <w:lvlText w:val=""/>
      <w:lvlJc w:val="left"/>
      <w:pPr>
        <w:ind w:hanging="360" w:left="4320"/>
      </w:pPr>
      <w:rPr>
        <w:rFonts w:ascii="Wingdings" w:hAnsi="Wingdings"/>
      </w:rPr>
    </w:lvl>
    <w:lvl w:ilvl="6" w:tplc="67731D25">
      <w:start w:val="1"/>
      <w:numFmt w:val="bullet"/>
      <w:suff w:val="tab"/>
      <w:lvlText w:val=""/>
      <w:lvlJc w:val="left"/>
      <w:pPr>
        <w:ind w:hanging="360" w:left="5040"/>
      </w:pPr>
      <w:rPr>
        <w:rFonts w:ascii="Symbol" w:hAnsi="Symbol"/>
      </w:rPr>
    </w:lvl>
    <w:lvl w:ilvl="7" w:tplc="63FAD84A">
      <w:start w:val="1"/>
      <w:numFmt w:val="bullet"/>
      <w:suff w:val="tab"/>
      <w:lvlText w:val="o"/>
      <w:lvlJc w:val="left"/>
      <w:pPr>
        <w:ind w:hanging="360" w:left="5760"/>
      </w:pPr>
      <w:rPr>
        <w:rFonts w:ascii="Courier New" w:hAnsi="Courier New"/>
      </w:rPr>
    </w:lvl>
    <w:lvl w:ilvl="8" w:tplc="3D06E860">
      <w:start w:val="1"/>
      <w:numFmt w:val="bullet"/>
      <w:suff w:val="tab"/>
      <w:lvlText w:val=""/>
      <w:lvlJc w:val="left"/>
      <w:pPr>
        <w:ind w:hanging="360" w:left="6480"/>
      </w:pPr>
      <w:rPr>
        <w:rFonts w:ascii="Wingdings" w:hAnsi="Wingdings"/>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269E4D2E">
      <w:start w:val="0"/>
      <w:numFmt w:val="bullet"/>
      <w:suff w:val="tab"/>
      <w:lvlText w:val="-"/>
      <w:lvlJc w:val="left"/>
      <w:pPr>
        <w:ind w:hanging="360" w:left="720"/>
        <w:tabs>
          <w:tab w:val="left" w:pos="720" w:leader="none"/>
        </w:tabs>
      </w:pPr>
      <w:rPr>
        <w:rFonts w:ascii="Times New Roman" w:hAnsi="Times New Roman"/>
      </w:rPr>
    </w:lvl>
    <w:lvl w:ilvl="1" w:tplc="245DF7C4">
      <w:start w:val="1"/>
      <w:numFmt w:val="bullet"/>
      <w:suff w:val="tab"/>
      <w:lvlText w:val="o"/>
      <w:lvlJc w:val="left"/>
      <w:pPr>
        <w:ind w:hanging="360" w:left="1440"/>
        <w:tabs>
          <w:tab w:val="left" w:pos="1440" w:leader="none"/>
        </w:tabs>
      </w:pPr>
      <w:rPr>
        <w:rFonts w:ascii="Courier New" w:hAnsi="Courier New"/>
      </w:rPr>
    </w:lvl>
    <w:lvl w:ilvl="2" w:tplc="67C8D971">
      <w:start w:val="1"/>
      <w:numFmt w:val="bullet"/>
      <w:suff w:val="tab"/>
      <w:lvlText w:val=""/>
      <w:lvlJc w:val="left"/>
      <w:pPr>
        <w:ind w:hanging="360" w:left="2160"/>
        <w:tabs>
          <w:tab w:val="left" w:pos="2160" w:leader="none"/>
        </w:tabs>
      </w:pPr>
      <w:rPr>
        <w:rFonts w:ascii="Wingdings" w:hAnsi="Wingdings"/>
      </w:rPr>
    </w:lvl>
    <w:lvl w:ilvl="3" w:tplc="7A21A5E2">
      <w:start w:val="1"/>
      <w:numFmt w:val="bullet"/>
      <w:suff w:val="tab"/>
      <w:lvlText w:val=""/>
      <w:lvlJc w:val="left"/>
      <w:pPr>
        <w:ind w:hanging="360" w:left="2880"/>
        <w:tabs>
          <w:tab w:val="left" w:pos="2880" w:leader="none"/>
        </w:tabs>
      </w:pPr>
      <w:rPr>
        <w:rFonts w:ascii="Symbol" w:hAnsi="Symbol"/>
      </w:rPr>
    </w:lvl>
    <w:lvl w:ilvl="4" w:tplc="4D1EBCE6">
      <w:start w:val="1"/>
      <w:numFmt w:val="bullet"/>
      <w:suff w:val="tab"/>
      <w:lvlText w:val="o"/>
      <w:lvlJc w:val="left"/>
      <w:pPr>
        <w:ind w:hanging="360" w:left="3600"/>
        <w:tabs>
          <w:tab w:val="left" w:pos="3600" w:leader="none"/>
        </w:tabs>
      </w:pPr>
      <w:rPr>
        <w:rFonts w:ascii="Courier New" w:hAnsi="Courier New"/>
      </w:rPr>
    </w:lvl>
    <w:lvl w:ilvl="5" w:tplc="358ECC29">
      <w:start w:val="1"/>
      <w:numFmt w:val="bullet"/>
      <w:suff w:val="tab"/>
      <w:lvlText w:val=""/>
      <w:lvlJc w:val="left"/>
      <w:pPr>
        <w:ind w:hanging="360" w:left="4320"/>
        <w:tabs>
          <w:tab w:val="left" w:pos="4320" w:leader="none"/>
        </w:tabs>
      </w:pPr>
      <w:rPr>
        <w:rFonts w:ascii="Wingdings" w:hAnsi="Wingdings"/>
      </w:rPr>
    </w:lvl>
    <w:lvl w:ilvl="6" w:tplc="49880342">
      <w:start w:val="1"/>
      <w:numFmt w:val="bullet"/>
      <w:suff w:val="tab"/>
      <w:lvlText w:val=""/>
      <w:lvlJc w:val="left"/>
      <w:pPr>
        <w:ind w:hanging="360" w:left="5040"/>
        <w:tabs>
          <w:tab w:val="left" w:pos="5040" w:leader="none"/>
        </w:tabs>
      </w:pPr>
      <w:rPr>
        <w:rFonts w:ascii="Symbol" w:hAnsi="Symbol"/>
      </w:rPr>
    </w:lvl>
    <w:lvl w:ilvl="7" w:tplc="285F4AFC">
      <w:start w:val="1"/>
      <w:numFmt w:val="bullet"/>
      <w:suff w:val="tab"/>
      <w:lvlText w:val="o"/>
      <w:lvlJc w:val="left"/>
      <w:pPr>
        <w:ind w:hanging="360" w:left="5760"/>
        <w:tabs>
          <w:tab w:val="left" w:pos="5760" w:leader="none"/>
        </w:tabs>
      </w:pPr>
      <w:rPr>
        <w:rFonts w:ascii="Courier New" w:hAnsi="Courier New"/>
      </w:rPr>
    </w:lvl>
    <w:lvl w:ilvl="8" w:tplc="2BC38115">
      <w:start w:val="1"/>
      <w:numFmt w:val="bullet"/>
      <w:suff w:val="tab"/>
      <w:lvlText w:val=""/>
      <w:lvlJc w:val="left"/>
      <w:pPr>
        <w:ind w:hanging="360" w:left="6480"/>
        <w:tabs>
          <w:tab w:val="left" w:pos="6480" w:leader="none"/>
        </w:tabs>
      </w:pPr>
      <w:rPr>
        <w:rFonts w:ascii="Wingdings" w:hAnsi="Wingdings"/>
      </w:rPr>
    </w:lvl>
  </w:abstractNum>
  <w:abstractNum w:abstractNumId="14">
    <w:nsid w:val="26C800D9"/>
    <w:multiLevelType w:val="hybridMultilevel"/>
    <w:lvl w:ilvl="0" w:tplc="427EFDD4">
      <w:start w:val="1"/>
      <w:numFmt w:val="bullet"/>
      <w:suff w:val="tab"/>
      <w:lvlText w:val=""/>
      <w:lvlJc w:val="left"/>
      <w:pPr>
        <w:ind w:hanging="360" w:left="720"/>
      </w:pPr>
      <w:rPr>
        <w:rFonts w:ascii="Symbol" w:hAnsi="Symbol"/>
      </w:rPr>
    </w:lvl>
    <w:lvl w:ilvl="1" w:tplc="36B2EAEC">
      <w:start w:val="1"/>
      <w:numFmt w:val="bullet"/>
      <w:suff w:val="tab"/>
      <w:lvlText w:val="o"/>
      <w:lvlJc w:val="left"/>
      <w:pPr>
        <w:ind w:hanging="360" w:left="1440"/>
      </w:pPr>
      <w:rPr>
        <w:rFonts w:ascii="Courier New" w:hAnsi="Courier New"/>
      </w:rPr>
    </w:lvl>
    <w:lvl w:ilvl="2" w:tplc="60196AD0">
      <w:start w:val="1"/>
      <w:numFmt w:val="bullet"/>
      <w:suff w:val="tab"/>
      <w:lvlText w:val=""/>
      <w:lvlJc w:val="left"/>
      <w:pPr>
        <w:ind w:hanging="360" w:left="2160"/>
      </w:pPr>
      <w:rPr>
        <w:rFonts w:ascii="Wingdings" w:hAnsi="Wingdings"/>
      </w:rPr>
    </w:lvl>
    <w:lvl w:ilvl="3" w:tplc="357476C3">
      <w:start w:val="1"/>
      <w:numFmt w:val="bullet"/>
      <w:suff w:val="tab"/>
      <w:lvlText w:val=""/>
      <w:lvlJc w:val="left"/>
      <w:pPr>
        <w:ind w:hanging="360" w:left="2880"/>
      </w:pPr>
      <w:rPr>
        <w:rFonts w:ascii="Symbol" w:hAnsi="Symbol"/>
      </w:rPr>
    </w:lvl>
    <w:lvl w:ilvl="4" w:tplc="4002CD5D">
      <w:start w:val="1"/>
      <w:numFmt w:val="bullet"/>
      <w:suff w:val="tab"/>
      <w:lvlText w:val="o"/>
      <w:lvlJc w:val="left"/>
      <w:pPr>
        <w:ind w:hanging="360" w:left="3600"/>
      </w:pPr>
      <w:rPr>
        <w:rFonts w:ascii="Courier New" w:hAnsi="Courier New"/>
      </w:rPr>
    </w:lvl>
    <w:lvl w:ilvl="5" w:tplc="3CFF04E1">
      <w:start w:val="1"/>
      <w:numFmt w:val="bullet"/>
      <w:suff w:val="tab"/>
      <w:lvlText w:val=""/>
      <w:lvlJc w:val="left"/>
      <w:pPr>
        <w:ind w:hanging="360" w:left="4320"/>
      </w:pPr>
      <w:rPr>
        <w:rFonts w:ascii="Wingdings" w:hAnsi="Wingdings"/>
      </w:rPr>
    </w:lvl>
    <w:lvl w:ilvl="6" w:tplc="2E92DDB1">
      <w:start w:val="1"/>
      <w:numFmt w:val="bullet"/>
      <w:suff w:val="tab"/>
      <w:lvlText w:val=""/>
      <w:lvlJc w:val="left"/>
      <w:pPr>
        <w:ind w:hanging="360" w:left="5040"/>
      </w:pPr>
      <w:rPr>
        <w:rFonts w:ascii="Symbol" w:hAnsi="Symbol"/>
      </w:rPr>
    </w:lvl>
    <w:lvl w:ilvl="7" w:tplc="621119B0">
      <w:start w:val="1"/>
      <w:numFmt w:val="bullet"/>
      <w:suff w:val="tab"/>
      <w:lvlText w:val="o"/>
      <w:lvlJc w:val="left"/>
      <w:pPr>
        <w:ind w:hanging="360" w:left="5760"/>
      </w:pPr>
      <w:rPr>
        <w:rFonts w:ascii="Courier New" w:hAnsi="Courier New"/>
      </w:rPr>
    </w:lvl>
    <w:lvl w:ilvl="8" w:tplc="1F90A95F">
      <w:start w:val="1"/>
      <w:numFmt w:val="bullet"/>
      <w:suff w:val="tab"/>
      <w:lvlText w:val=""/>
      <w:lvlJc w:val="left"/>
      <w:pPr>
        <w:ind w:hanging="360" w:left="6480"/>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380D38"/>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73DE247">
      <w:start w:val="1"/>
      <w:numFmt w:val="bullet"/>
      <w:suff w:val="tab"/>
      <w:lvlText w:val=""/>
      <w:lvlJc w:val="left"/>
      <w:pPr>
        <w:ind w:hanging="360" w:left="720"/>
        <w:tabs>
          <w:tab w:val="left" w:pos="720" w:leader="none"/>
        </w:tabs>
      </w:pPr>
      <w:rPr>
        <w:rFonts w:ascii="Symbol" w:hAnsi="Symbol"/>
      </w:rPr>
    </w:lvl>
    <w:lvl w:ilvl="1" w:tplc="670DA464">
      <w:start w:val="1"/>
      <w:numFmt w:val="bullet"/>
      <w:suff w:val="tab"/>
      <w:lvlText w:val="o"/>
      <w:lvlJc w:val="left"/>
      <w:pPr>
        <w:ind w:hanging="360" w:left="1440"/>
        <w:tabs>
          <w:tab w:val="left" w:pos="1440" w:leader="none"/>
        </w:tabs>
      </w:pPr>
      <w:rPr>
        <w:rFonts w:ascii="Courier New" w:hAnsi="Courier New"/>
      </w:rPr>
    </w:lvl>
    <w:lvl w:ilvl="2" w:tplc="00370F92">
      <w:start w:val="1"/>
      <w:numFmt w:val="bullet"/>
      <w:suff w:val="tab"/>
      <w:lvlText w:val=""/>
      <w:lvlJc w:val="left"/>
      <w:pPr>
        <w:ind w:hanging="360" w:left="2160"/>
        <w:tabs>
          <w:tab w:val="left" w:pos="2160" w:leader="none"/>
        </w:tabs>
      </w:pPr>
      <w:rPr>
        <w:rFonts w:ascii="Wingdings" w:hAnsi="Wingdings"/>
      </w:rPr>
    </w:lvl>
    <w:lvl w:ilvl="3" w:tplc="68751C3F">
      <w:start w:val="1"/>
      <w:numFmt w:val="bullet"/>
      <w:suff w:val="tab"/>
      <w:lvlText w:val=""/>
      <w:lvlJc w:val="left"/>
      <w:pPr>
        <w:ind w:hanging="360" w:left="2880"/>
        <w:tabs>
          <w:tab w:val="left" w:pos="2880" w:leader="none"/>
        </w:tabs>
      </w:pPr>
      <w:rPr>
        <w:rFonts w:ascii="Symbol" w:hAnsi="Symbol"/>
      </w:rPr>
    </w:lvl>
    <w:lvl w:ilvl="4" w:tplc="2A58EC5D">
      <w:start w:val="1"/>
      <w:numFmt w:val="bullet"/>
      <w:suff w:val="tab"/>
      <w:lvlText w:val="o"/>
      <w:lvlJc w:val="left"/>
      <w:pPr>
        <w:ind w:hanging="360" w:left="3600"/>
        <w:tabs>
          <w:tab w:val="left" w:pos="3600" w:leader="none"/>
        </w:tabs>
      </w:pPr>
      <w:rPr>
        <w:rFonts w:ascii="Courier New" w:hAnsi="Courier New"/>
      </w:rPr>
    </w:lvl>
    <w:lvl w:ilvl="5" w:tplc="4CB37266">
      <w:start w:val="1"/>
      <w:numFmt w:val="bullet"/>
      <w:suff w:val="tab"/>
      <w:lvlText w:val=""/>
      <w:lvlJc w:val="left"/>
      <w:pPr>
        <w:ind w:hanging="360" w:left="4320"/>
        <w:tabs>
          <w:tab w:val="left" w:pos="4320" w:leader="none"/>
        </w:tabs>
      </w:pPr>
      <w:rPr>
        <w:rFonts w:ascii="Wingdings" w:hAnsi="Wingdings"/>
      </w:rPr>
    </w:lvl>
    <w:lvl w:ilvl="6" w:tplc="45315D10">
      <w:start w:val="1"/>
      <w:numFmt w:val="bullet"/>
      <w:suff w:val="tab"/>
      <w:lvlText w:val=""/>
      <w:lvlJc w:val="left"/>
      <w:pPr>
        <w:ind w:hanging="360" w:left="5040"/>
        <w:tabs>
          <w:tab w:val="left" w:pos="5040" w:leader="none"/>
        </w:tabs>
      </w:pPr>
      <w:rPr>
        <w:rFonts w:ascii="Symbol" w:hAnsi="Symbol"/>
      </w:rPr>
    </w:lvl>
    <w:lvl w:ilvl="7" w:tplc="61EB2382">
      <w:start w:val="1"/>
      <w:numFmt w:val="bullet"/>
      <w:suff w:val="tab"/>
      <w:lvlText w:val="o"/>
      <w:lvlJc w:val="left"/>
      <w:pPr>
        <w:ind w:hanging="360" w:left="5760"/>
        <w:tabs>
          <w:tab w:val="left" w:pos="5760" w:leader="none"/>
        </w:tabs>
      </w:pPr>
      <w:rPr>
        <w:rFonts w:ascii="Courier New" w:hAnsi="Courier New"/>
      </w:rPr>
    </w:lvl>
    <w:lvl w:ilvl="8" w:tplc="602F1047">
      <w:start w:val="1"/>
      <w:numFmt w:val="bullet"/>
      <w:suff w:val="tab"/>
      <w:lvlText w:val=""/>
      <w:lvlJc w:val="left"/>
      <w:pPr>
        <w:ind w:hanging="360" w:left="6480"/>
        <w:tabs>
          <w:tab w:val="left" w:pos="6480" w:leader="none"/>
        </w:tabs>
      </w:pPr>
      <w:rPr>
        <w:rFonts w:ascii="Wingdings" w:hAnsi="Wingdings"/>
      </w:rPr>
    </w:lvl>
  </w:abstractNum>
  <w:abstractNum w:abstractNumId="19">
    <w:nsid w:val="46FA1879"/>
    <w:multiLevelType w:val="hybridMultilevel"/>
    <w:lvl w:ilvl="0" w:tplc="14A9B3C1">
      <w:start w:val="1"/>
      <w:numFmt w:val="bullet"/>
      <w:suff w:val="tab"/>
      <w:lvlText w:val=""/>
      <w:lvlJc w:val="left"/>
      <w:pPr>
        <w:ind w:hanging="360" w:left="720"/>
      </w:pPr>
      <w:rPr>
        <w:rFonts w:ascii="Symbol" w:hAnsi="Symbol"/>
      </w:rPr>
    </w:lvl>
    <w:lvl w:ilvl="1" w:tplc="45A8416F">
      <w:start w:val="1"/>
      <w:numFmt w:val="bullet"/>
      <w:suff w:val="tab"/>
      <w:lvlText w:val="o"/>
      <w:lvlJc w:val="left"/>
      <w:pPr>
        <w:ind w:hanging="360" w:left="1440"/>
      </w:pPr>
      <w:rPr>
        <w:rFonts w:ascii="Courier New" w:hAnsi="Courier New"/>
      </w:rPr>
    </w:lvl>
    <w:lvl w:ilvl="2" w:tplc="26E1FF60">
      <w:start w:val="1"/>
      <w:numFmt w:val="bullet"/>
      <w:suff w:val="tab"/>
      <w:lvlText w:val=""/>
      <w:lvlJc w:val="left"/>
      <w:pPr>
        <w:ind w:hanging="360" w:left="2160"/>
      </w:pPr>
      <w:rPr>
        <w:rFonts w:ascii="Wingdings" w:hAnsi="Wingdings"/>
      </w:rPr>
    </w:lvl>
    <w:lvl w:ilvl="3" w:tplc="1D89AF7C">
      <w:start w:val="1"/>
      <w:numFmt w:val="bullet"/>
      <w:suff w:val="tab"/>
      <w:lvlText w:val=""/>
      <w:lvlJc w:val="left"/>
      <w:pPr>
        <w:ind w:hanging="360" w:left="2880"/>
      </w:pPr>
      <w:rPr>
        <w:rFonts w:ascii="Symbol" w:hAnsi="Symbol"/>
      </w:rPr>
    </w:lvl>
    <w:lvl w:ilvl="4" w:tplc="17171392">
      <w:start w:val="1"/>
      <w:numFmt w:val="bullet"/>
      <w:suff w:val="tab"/>
      <w:lvlText w:val="o"/>
      <w:lvlJc w:val="left"/>
      <w:pPr>
        <w:ind w:hanging="360" w:left="3600"/>
      </w:pPr>
      <w:rPr>
        <w:rFonts w:ascii="Courier New" w:hAnsi="Courier New"/>
      </w:rPr>
    </w:lvl>
    <w:lvl w:ilvl="5" w:tplc="5C82F896">
      <w:start w:val="1"/>
      <w:numFmt w:val="bullet"/>
      <w:suff w:val="tab"/>
      <w:lvlText w:val=""/>
      <w:lvlJc w:val="left"/>
      <w:pPr>
        <w:ind w:hanging="360" w:left="4320"/>
      </w:pPr>
      <w:rPr>
        <w:rFonts w:ascii="Wingdings" w:hAnsi="Wingdings"/>
      </w:rPr>
    </w:lvl>
    <w:lvl w:ilvl="6" w:tplc="2BE07BA0">
      <w:start w:val="1"/>
      <w:numFmt w:val="bullet"/>
      <w:suff w:val="tab"/>
      <w:lvlText w:val=""/>
      <w:lvlJc w:val="left"/>
      <w:pPr>
        <w:ind w:hanging="360" w:left="5040"/>
      </w:pPr>
      <w:rPr>
        <w:rFonts w:ascii="Symbol" w:hAnsi="Symbol"/>
      </w:rPr>
    </w:lvl>
    <w:lvl w:ilvl="7" w:tplc="5DD02637">
      <w:start w:val="1"/>
      <w:numFmt w:val="bullet"/>
      <w:suff w:val="tab"/>
      <w:lvlText w:val="o"/>
      <w:lvlJc w:val="left"/>
      <w:pPr>
        <w:ind w:hanging="360" w:left="5760"/>
      </w:pPr>
      <w:rPr>
        <w:rFonts w:ascii="Courier New" w:hAnsi="Courier New"/>
      </w:rPr>
    </w:lvl>
    <w:lvl w:ilvl="8" w:tplc="3DE29840">
      <w:start w:val="1"/>
      <w:numFmt w:val="bullet"/>
      <w:suff w:val="tab"/>
      <w:lvlText w:val=""/>
      <w:lvlJc w:val="left"/>
      <w:pPr>
        <w:ind w:hanging="360" w:left="6480"/>
      </w:pPr>
      <w:rPr>
        <w:rFonts w:ascii="Wingdings" w:hAnsi="Wingdings"/>
      </w:rPr>
    </w:lvl>
  </w:abstractNum>
  <w:abstractNum w:abstractNumId="20">
    <w:nsid w:val="475127CD"/>
    <w:multiLevelType w:val="hybridMultilevel"/>
    <w:lvl w:ilvl="0" w:tplc="205B6034">
      <w:start w:val="1"/>
      <w:numFmt w:val="bullet"/>
      <w:suff w:val="tab"/>
      <w:lvlText w:val=""/>
      <w:lvlJc w:val="left"/>
      <w:pPr>
        <w:ind w:hanging="360" w:left="720"/>
      </w:pPr>
      <w:rPr>
        <w:rFonts w:ascii="Symbol" w:hAnsi="Symbol"/>
      </w:rPr>
    </w:lvl>
    <w:lvl w:ilvl="1" w:tplc="6394B781">
      <w:start w:val="1"/>
      <w:numFmt w:val="bullet"/>
      <w:suff w:val="tab"/>
      <w:lvlText w:val="o"/>
      <w:lvlJc w:val="left"/>
      <w:pPr>
        <w:ind w:hanging="360" w:left="1440"/>
      </w:pPr>
      <w:rPr>
        <w:rFonts w:ascii="Courier New" w:hAnsi="Courier New"/>
      </w:rPr>
    </w:lvl>
    <w:lvl w:ilvl="2" w:tplc="531FB922">
      <w:start w:val="1"/>
      <w:numFmt w:val="bullet"/>
      <w:suff w:val="tab"/>
      <w:lvlText w:val=""/>
      <w:lvlJc w:val="left"/>
      <w:pPr>
        <w:ind w:hanging="360" w:left="2160"/>
      </w:pPr>
      <w:rPr>
        <w:rFonts w:ascii="Wingdings" w:hAnsi="Wingdings"/>
      </w:rPr>
    </w:lvl>
    <w:lvl w:ilvl="3" w:tplc="6F6C271A">
      <w:start w:val="1"/>
      <w:numFmt w:val="bullet"/>
      <w:suff w:val="tab"/>
      <w:lvlText w:val=""/>
      <w:lvlJc w:val="left"/>
      <w:pPr>
        <w:ind w:hanging="360" w:left="2880"/>
      </w:pPr>
      <w:rPr>
        <w:rFonts w:ascii="Symbol" w:hAnsi="Symbol"/>
      </w:rPr>
    </w:lvl>
    <w:lvl w:ilvl="4" w:tplc="4724C081">
      <w:start w:val="1"/>
      <w:numFmt w:val="bullet"/>
      <w:suff w:val="tab"/>
      <w:lvlText w:val="o"/>
      <w:lvlJc w:val="left"/>
      <w:pPr>
        <w:ind w:hanging="360" w:left="3600"/>
      </w:pPr>
      <w:rPr>
        <w:rFonts w:ascii="Courier New" w:hAnsi="Courier New"/>
      </w:rPr>
    </w:lvl>
    <w:lvl w:ilvl="5" w:tplc="58E14CF1">
      <w:start w:val="1"/>
      <w:numFmt w:val="bullet"/>
      <w:suff w:val="tab"/>
      <w:lvlText w:val=""/>
      <w:lvlJc w:val="left"/>
      <w:pPr>
        <w:ind w:hanging="360" w:left="4320"/>
      </w:pPr>
      <w:rPr>
        <w:rFonts w:ascii="Wingdings" w:hAnsi="Wingdings"/>
      </w:rPr>
    </w:lvl>
    <w:lvl w:ilvl="6" w:tplc="3ECB0D22">
      <w:start w:val="1"/>
      <w:numFmt w:val="bullet"/>
      <w:suff w:val="tab"/>
      <w:lvlText w:val=""/>
      <w:lvlJc w:val="left"/>
      <w:pPr>
        <w:ind w:hanging="360" w:left="5040"/>
      </w:pPr>
      <w:rPr>
        <w:rFonts w:ascii="Symbol" w:hAnsi="Symbol"/>
      </w:rPr>
    </w:lvl>
    <w:lvl w:ilvl="7" w:tplc="58DDA9A3">
      <w:start w:val="1"/>
      <w:numFmt w:val="bullet"/>
      <w:suff w:val="tab"/>
      <w:lvlText w:val="o"/>
      <w:lvlJc w:val="left"/>
      <w:pPr>
        <w:ind w:hanging="360" w:left="5760"/>
      </w:pPr>
      <w:rPr>
        <w:rFonts w:ascii="Courier New" w:hAnsi="Courier New"/>
      </w:rPr>
    </w:lvl>
    <w:lvl w:ilvl="8" w:tplc="5F9F068A">
      <w:start w:val="1"/>
      <w:numFmt w:val="bullet"/>
      <w:suff w:val="tab"/>
      <w:lvlText w:val=""/>
      <w:lvlJc w:val="left"/>
      <w:pPr>
        <w:ind w:hanging="360" w:left="6480"/>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34528EF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75EE7E4C"/>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5">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9"/>
  </w:num>
  <w:num w:numId="3">
    <w:abstractNumId w:val="15"/>
  </w:num>
  <w:num w:numId="4">
    <w:abstractNumId w:val="28"/>
  </w:num>
  <w:num w:numId="5">
    <w:abstractNumId w:val="32"/>
  </w:num>
  <w:num w:numId="6">
    <w:abstractNumId w:val="7"/>
  </w:num>
  <w:num w:numId="7">
    <w:abstractNumId w:val="26"/>
  </w:num>
  <w:num w:numId="8">
    <w:abstractNumId w:val="3"/>
  </w:num>
  <w:num w:numId="9">
    <w:abstractNumId w:val="6"/>
  </w:num>
  <w:num w:numId="10">
    <w:abstractNumId w:val="8"/>
  </w:num>
  <w:num w:numId="11">
    <w:abstractNumId w:val="22"/>
  </w:num>
  <w:num w:numId="12">
    <w:abstractNumId w:val="23"/>
  </w:num>
  <w:num w:numId="13">
    <w:abstractNumId w:val="37"/>
  </w:num>
  <w:num w:numId="14">
    <w:abstractNumId w:val="31"/>
  </w:num>
  <w:num w:numId="15">
    <w:abstractNumId w:val="30"/>
  </w:num>
  <w:num w:numId="16">
    <w:abstractNumId w:val="18"/>
  </w:num>
  <w:num w:numId="17">
    <w:abstractNumId w:val="21"/>
  </w:num>
  <w:num w:numId="18">
    <w:abstractNumId w:val="34"/>
  </w:num>
  <w:num w:numId="19">
    <w:abstractNumId w:val="11"/>
  </w:num>
  <w:num w:numId="20">
    <w:abstractNumId w:val="4"/>
  </w:num>
  <w:num w:numId="21">
    <w:abstractNumId w:val="1"/>
  </w:num>
  <w:num w:numId="22">
    <w:abstractNumId w:val="25"/>
  </w:num>
  <w:num w:numId="23">
    <w:abstractNumId w:val="35"/>
  </w:num>
  <w:num w:numId="24">
    <w:abstractNumId w:val="29"/>
  </w:num>
  <w:num w:numId="25">
    <w:abstractNumId w:val="12"/>
  </w:num>
  <w:num w:numId="26">
    <w:abstractNumId w:val="36"/>
  </w:num>
  <w:num w:numId="27">
    <w:abstractNumId w:val="2"/>
  </w:num>
  <w:num w:numId="28">
    <w:abstractNumId w:val="27"/>
  </w:num>
  <w:num w:numId="29">
    <w:abstractNumId w:val="5"/>
  </w:num>
  <w:num w:numId="30">
    <w:abstractNumId w:val="17"/>
  </w:num>
  <w:num w:numId="31">
    <w:abstractNumId w:val="0"/>
  </w:num>
  <w:num w:numId="32">
    <w:abstractNumId w:val="13"/>
  </w:num>
  <w:num w:numId="33">
    <w:abstractNumId w:val="19"/>
  </w:num>
  <w:num w:numId="34">
    <w:abstractNumId w:val="33"/>
  </w:num>
  <w:num w:numId="35">
    <w:abstractNumId w:val="10"/>
  </w:num>
  <w:num w:numId="36">
    <w:abstractNumId w:val="20"/>
  </w:num>
  <w:num w:numId="37">
    <w:abstractNumId w:val="14"/>
  </w:num>
  <w:num w:numId="38">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2012-12-17T15:19:00Z</dcterms:created>
  <cp:lastModifiedBy>Ethan Puglia</cp:lastModifiedBy>
  <cp:lastPrinted>2012-12-06T15:26:00Z</cp:lastPrinted>
  <dcterms:modified xsi:type="dcterms:W3CDTF">2019-03-28T17:33:06Z</dcterms:modified>
  <cp:revision>12</cp:revision>
  <dc:title>PROYECTO DE ORDENANZA VIOLENCIA FAMILIAR</dc:title>
</cp:coreProperties>
</file>