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0A95F0A" Type="http://schemas.openxmlformats.org/officeDocument/2006/relationships/officeDocument" Target="/word/document.xml" /><Relationship Id="coreR60A95F0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9423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Visto: La necesidad de instrumentar una herramienta de cobro de tributos; y</w:t>
      </w:r>
    </w:p>
    <w:p>
      <w:pPr>
        <w:tabs>
          <w:tab w:val="left" w:pos="5255" w:leader="none"/>
        </w:tabs>
        <w:jc w:val="both"/>
        <w:rPr>
          <w:rStyle w:val="C3"/>
          <w:rFonts w:ascii="Courier New" w:hAnsi="Courier New"/>
        </w:rPr>
      </w:pPr>
    </w:p>
    <w:p>
      <w:pPr>
        <w:pStyle w:val="P2"/>
      </w:pPr>
      <w:r>
        <w:t>C O N S I D E R A N D O</w:t>
      </w:r>
    </w:p>
    <w:p>
      <w:pPr>
        <w:tabs>
          <w:tab w:val="left" w:pos="2824" w:leader="none"/>
        </w:tabs>
      </w:pPr>
    </w:p>
    <w:p>
      <w:pPr>
        <w:pStyle w:val="P11"/>
        <w:ind w:left="426"/>
      </w:pPr>
      <w:r>
        <w:t>Que mediante la Ordenanza Nº 9360 se derogan las Ordenanzas Nº 8017 y 8361 que establecían en forma permanente una moratoria por deudas de tasas municipales;</w:t>
      </w:r>
    </w:p>
    <w:p>
      <w:pPr>
        <w:pStyle w:val="P11"/>
        <w:ind w:left="426"/>
      </w:pPr>
    </w:p>
    <w:p>
      <w:pPr>
        <w:pStyle w:val="P11"/>
        <w:ind w:left="426"/>
      </w:pPr>
      <w:r>
        <w:t>Que se creyó conveniente en ese momento autorizar al Departamento Ejecutivo a acordar facilidades de pagos sólo a aquellos contribuyentes que, previo relevamiento socioeconómico, se encuentren en imposibilidad de realizar el pago de la deuda de contado;</w:t>
      </w:r>
    </w:p>
    <w:p>
      <w:pPr>
        <w:pStyle w:val="P11"/>
      </w:pPr>
    </w:p>
    <w:p>
      <w:pPr>
        <w:suppressAutoHyphens w:val="1"/>
        <w:ind w:left="426"/>
        <w:jc w:val="both"/>
        <w:rPr>
          <w:rStyle w:val="C3"/>
          <w:rFonts w:ascii="Courier New" w:hAnsi="Courier New"/>
        </w:rPr>
      </w:pPr>
      <w:r>
        <w:rPr>
          <w:rStyle w:val="C3"/>
          <w:rFonts w:ascii="Courier New" w:hAnsi="Courier New"/>
        </w:rPr>
        <w:t>Que al aplicarse la Ordenanza Nº 9360 se dan una serie de situaciones que deben ser contempladas por el Estado Municipal;</w:t>
      </w:r>
    </w:p>
    <w:p>
      <w:pPr>
        <w:suppressAutoHyphens w:val="1"/>
        <w:jc w:val="both"/>
        <w:rPr>
          <w:rStyle w:val="C3"/>
          <w:rFonts w:ascii="Courier New" w:hAnsi="Courier New"/>
        </w:rPr>
      </w:pPr>
    </w:p>
    <w:p>
      <w:pPr>
        <w:suppressAutoHyphens w:val="1"/>
        <w:ind w:left="426"/>
        <w:jc w:val="both"/>
        <w:rPr>
          <w:rStyle w:val="C3"/>
          <w:rFonts w:ascii="Courier New" w:hAnsi="Courier New"/>
        </w:rPr>
      </w:pPr>
      <w:r>
        <w:rPr>
          <w:rStyle w:val="C3"/>
          <w:rFonts w:ascii="Courier New" w:hAnsi="Courier New"/>
        </w:rPr>
        <w:t>Que es intención de esta gestión generar la conciencia tributaria alentando el pago de las tasas y de las deudas, con un principio solidario;</w:t>
      </w:r>
    </w:p>
    <w:p>
      <w:pPr>
        <w:suppressAutoHyphens w:val="1"/>
        <w:jc w:val="both"/>
        <w:rPr>
          <w:rStyle w:val="C3"/>
          <w:rFonts w:ascii="Courier New" w:hAnsi="Courier New"/>
        </w:rPr>
      </w:pPr>
    </w:p>
    <w:p>
      <w:pPr>
        <w:suppressAutoHyphens w:val="1"/>
        <w:ind w:left="426"/>
        <w:jc w:val="both"/>
        <w:rPr>
          <w:rStyle w:val="C3"/>
          <w:rFonts w:ascii="Courier New" w:hAnsi="Courier New"/>
        </w:rPr>
      </w:pPr>
      <w:r>
        <w:rPr>
          <w:rStyle w:val="C3"/>
          <w:rFonts w:ascii="Courier New" w:hAnsi="Courier New"/>
        </w:rPr>
        <w:t>Que el cambio de hábitos a veces requiere de periodos de adaptación, así como de incentivos que generen interés de regularizar situaciones, sin premiar a los incumplidores;</w:t>
      </w:r>
    </w:p>
    <w:p>
      <w:pPr>
        <w:suppressAutoHyphens w:val="1"/>
        <w:jc w:val="both"/>
        <w:rPr>
          <w:rStyle w:val="C3"/>
          <w:rFonts w:ascii="Courier New" w:hAnsi="Courier New"/>
        </w:rPr>
      </w:pPr>
    </w:p>
    <w:p>
      <w:pPr>
        <w:suppressAutoHyphens w:val="1"/>
        <w:ind w:left="426"/>
        <w:jc w:val="both"/>
        <w:rPr>
          <w:rStyle w:val="C3"/>
          <w:rFonts w:ascii="Courier New" w:hAnsi="Courier New"/>
        </w:rPr>
      </w:pPr>
      <w:r>
        <w:rPr>
          <w:rStyle w:val="C3"/>
          <w:rFonts w:ascii="Courier New" w:hAnsi="Courier New"/>
        </w:rPr>
        <w:t xml:space="preserve">Que analizar las distintas situaciones planteadas en este tiempo de vigencia de la Ordenanza Nº 9360 se cree conveniente establecer distintas formas de pago de deudas de Tasas de acuerdo a la realidad de cada contribuyente; </w:t>
      </w:r>
    </w:p>
    <w:p>
      <w:pPr>
        <w:tabs>
          <w:tab w:val="left" w:pos="2824" w:leader="none"/>
        </w:tabs>
      </w:pPr>
      <w:r>
        <w:tab/>
      </w:r>
    </w:p>
    <w:p>
      <w:pPr>
        <w:pStyle w:val="P11"/>
        <w:ind w:left="426"/>
      </w:pPr>
      <w:r>
        <w:t>Que evaluado el proyecto e Ordenanza por Comisión de Hacienda, la misma emite despacho aprobando el proyecto de ordenanza del Departamento Ejecutivo, despacho aprobado por unanimidad en sesión del día 12 de diciembre de 2012.</w:t>
      </w:r>
    </w:p>
    <w:p>
      <w:pPr>
        <w:pStyle w:val="P11"/>
        <w:ind w:left="414"/>
        <w:jc w:val="right"/>
      </w:pPr>
      <w:r>
        <w:t>...///</w:t>
      </w:r>
    </w:p>
    <w:p>
      <w:pPr>
        <w:pStyle w:val="P11"/>
        <w:ind w:left="414"/>
      </w:pPr>
    </w:p>
    <w:p>
      <w:pPr>
        <w:pStyle w:val="P11"/>
        <w:ind w:left="414"/>
      </w:pPr>
    </w:p>
    <w:p>
      <w:pPr>
        <w:pStyle w:val="P11"/>
        <w:ind w:left="414"/>
      </w:pPr>
    </w:p>
    <w:p>
      <w:pPr>
        <w:pStyle w:val="P11"/>
        <w:ind w:left="414"/>
      </w:pPr>
    </w:p>
    <w:p>
      <w:pPr>
        <w:pStyle w:val="P11"/>
        <w:ind w:left="414"/>
      </w:pPr>
    </w:p>
    <w:p>
      <w:pPr>
        <w:pStyle w:val="P11"/>
      </w:pPr>
    </w:p>
    <w:p>
      <w:pPr>
        <w:pStyle w:val="P11"/>
      </w:pPr>
    </w:p>
    <w:p>
      <w:pPr>
        <w:pStyle w:val="P11"/>
        <w:ind w:hanging="414" w:left="414"/>
      </w:pPr>
      <w:r>
        <w:t>...///2.-</w:t>
      </w:r>
    </w:p>
    <w:p>
      <w:pPr>
        <w:pStyle w:val="P11"/>
        <w:ind w:left="414"/>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E</w:t>
      </w:r>
      <w:r>
        <w:rPr>
          <w:rStyle w:val="C3"/>
          <w:rFonts w:ascii="Courier New" w:hAnsi="Courier New"/>
          <w:b w:val="1"/>
        </w:rPr>
        <w:t>STABLÉZCASE</w:t>
      </w:r>
      <w:r>
        <w:rPr>
          <w:rStyle w:val="C3"/>
          <w:rFonts w:ascii="Courier New" w:hAnsi="Courier New"/>
        </w:rPr>
        <w:t xml:space="preserve"> un régimen de facilidades de pago para tributos que al 31 de diciembre de 2011, se encuentren en mora. Dicho régimen especial de facilidades comenzará a regir desde la entrada en vigencia de la presente, y hasta el día 31 de enero de 2013.-</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SERÁN</w:t>
      </w:r>
      <w:r>
        <w:rPr>
          <w:rStyle w:val="C3"/>
          <w:rFonts w:ascii="Courier New" w:hAnsi="Courier New"/>
        </w:rPr>
        <w:t xml:space="preserve"> beneficiados los contribuyentes que lo soliciten hasta el 31 de enero de 2013 debiendo realizar el pago de la primera cuota del plan elegido, al momento de la presentación.</w:t>
      </w:r>
    </w:p>
    <w:p>
      <w:pPr>
        <w:ind w:hanging="426" w:left="426"/>
        <w:jc w:val="both"/>
        <w:rPr>
          <w:rStyle w:val="C3"/>
          <w:rFonts w:ascii="Courier New" w:hAnsi="Courier New"/>
        </w:rPr>
      </w:pPr>
    </w:p>
    <w:p>
      <w:pPr>
        <w:ind w:hanging="426" w:left="426"/>
        <w:jc w:val="both"/>
        <w:rPr>
          <w:rStyle w:val="C3"/>
          <w:rFonts w:ascii="Courier New" w:hAnsi="Courier New"/>
          <w:b w:val="1"/>
        </w:rPr>
      </w:pPr>
      <w:r>
        <w:rPr>
          <w:rStyle w:val="C3"/>
          <w:rFonts w:ascii="Courier New" w:hAnsi="Courier New"/>
          <w:b w:val="1"/>
          <w:u w:val="single"/>
        </w:rPr>
        <w:t>Art.3</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EL </w:t>
      </w:r>
      <w:r>
        <w:rPr>
          <w:rStyle w:val="C3"/>
          <w:rFonts w:ascii="Courier New" w:hAnsi="Courier New"/>
        </w:rPr>
        <w:t>cálculo de la deuda se hará sumando a la misma, los intereses resarcitorios previstos por decreto de departamento Ejecutivo Municipal, desde la fecha de vencimiento del tributo hasta el último día del mes de presentación, y el valor resultante de la cuota no podrá ser inferior a la suma de pesos cincuenta ($ 50.-).</w:t>
      </w:r>
    </w:p>
    <w:p>
      <w:pPr>
        <w:ind w:hanging="426" w:left="426"/>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Art.4</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LOS </w:t>
      </w:r>
      <w:r>
        <w:rPr>
          <w:rStyle w:val="C3"/>
          <w:rFonts w:ascii="Courier New" w:hAnsi="Courier New"/>
        </w:rPr>
        <w:t>gastos judiciales y/u honorarios profesionales generados por el inicio de las correspondientes acciones legales judiciales y/o extrajudiciales, serán incluidos en las distintas formas de pago de la presente.</w:t>
      </w:r>
    </w:p>
    <w:p>
      <w:pPr>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Art.5</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LA </w:t>
      </w:r>
      <w:r>
        <w:rPr>
          <w:rStyle w:val="C3"/>
          <w:rFonts w:ascii="Courier New" w:hAnsi="Courier New"/>
        </w:rPr>
        <w:t>deuda determinada podrá abonarse en las cajas municipales o en las entidades determinadas por el Departamento Ejecutivo Municipal. Todo contribuyente que tenga un plan de pagos vigente no podrá acogerse al plan de pagos de la presente Ordenanza.</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Art.6</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El </w:t>
      </w:r>
      <w:r>
        <w:rPr>
          <w:rStyle w:val="C3"/>
          <w:rFonts w:ascii="Courier New" w:hAnsi="Courier New"/>
        </w:rPr>
        <w:t xml:space="preserve">presente régimen de regularización podrá ser concedido conforme las siguientes condiciones: </w:t>
      </w: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...///3.-</w:t>
      </w:r>
    </w:p>
    <w:p>
      <w:pPr>
        <w:ind w:hanging="426" w:left="426"/>
        <w:jc w:val="both"/>
        <w:rPr>
          <w:rStyle w:val="C3"/>
          <w:rFonts w:ascii="Courier New" w:hAnsi="Courier New"/>
        </w:rPr>
      </w:pPr>
    </w:p>
    <w:p>
      <w:pPr>
        <w:numPr>
          <w:ilvl w:val="0"/>
          <w:numId w:val="37"/>
        </w:numPr>
        <w:jc w:val="both"/>
        <w:rPr>
          <w:rStyle w:val="C3"/>
          <w:rFonts w:ascii="Courier New" w:hAnsi="Courier New"/>
        </w:rPr>
      </w:pPr>
      <w:r>
        <w:rPr>
          <w:rStyle w:val="C3"/>
          <w:rFonts w:ascii="Courier New" w:hAnsi="Courier New"/>
        </w:rPr>
        <w:t xml:space="preserve">DEUDA CORRIENTE: </w:t>
      </w:r>
    </w:p>
    <w:p>
      <w:pPr>
        <w:ind w:hanging="426" w:left="426"/>
        <w:jc w:val="both"/>
        <w:rPr>
          <w:rStyle w:val="C3"/>
          <w:rFonts w:ascii="Courier New" w:hAnsi="Courier New"/>
        </w:rPr>
      </w:pPr>
      <w:r>
        <w:rPr>
          <w:rStyle w:val="C3"/>
          <w:rFonts w:ascii="Courier New" w:hAnsi="Courier New"/>
        </w:rPr>
        <w:t xml:space="preserve">   1-En cuotas, con la siguiente modalidad: el contribuyente que opte por el pago en cuotas, deberá abonar al momento de la suscripción, un anticipo equivalente al TREINTA POR CIENTO (30%) del total de la deuda sometida a plan de pago, y el saldo hasta en SEIS (6) cuotas.</w:t>
      </w:r>
    </w:p>
    <w:p>
      <w:pPr>
        <w:ind w:hanging="426" w:left="426"/>
        <w:jc w:val="both"/>
        <w:rPr>
          <w:rStyle w:val="C3"/>
          <w:rFonts w:ascii="Courier New" w:hAnsi="Courier New"/>
        </w:rPr>
      </w:pPr>
    </w:p>
    <w:p>
      <w:pPr>
        <w:ind w:hanging="426" w:left="426"/>
        <w:jc w:val="both"/>
        <w:rPr>
          <w:rStyle w:val="C3"/>
          <w:rFonts w:ascii="Courier New" w:hAnsi="Courier New"/>
        </w:rPr>
      </w:pPr>
    </w:p>
    <w:p>
      <w:pPr>
        <w:numPr>
          <w:ilvl w:val="0"/>
          <w:numId w:val="37"/>
        </w:numPr>
        <w:jc w:val="both"/>
        <w:rPr>
          <w:rStyle w:val="C3"/>
          <w:rFonts w:ascii="Courier New" w:hAnsi="Courier New"/>
        </w:rPr>
      </w:pPr>
      <w:r>
        <w:rPr>
          <w:rStyle w:val="C3"/>
          <w:rFonts w:ascii="Courier New" w:hAnsi="Courier New"/>
        </w:rPr>
        <w:t>DEUDA EN GESTIÓN JUDICIAL:</w:t>
      </w:r>
    </w:p>
    <w:p>
      <w:pPr>
        <w:ind w:hanging="426" w:left="426"/>
        <w:jc w:val="both"/>
        <w:rPr>
          <w:rStyle w:val="C3"/>
          <w:rFonts w:ascii="Courier New" w:hAnsi="Courier New"/>
        </w:rPr>
      </w:pPr>
      <w:r>
        <w:rPr>
          <w:rStyle w:val="C3"/>
          <w:rFonts w:ascii="Courier New" w:hAnsi="Courier New"/>
        </w:rPr>
        <w:t xml:space="preserve">   1-De contado con un descuento del VEINTE POR CIENTO (20%) de los intereses resarcitorios.</w:t>
      </w:r>
    </w:p>
    <w:p>
      <w:pPr>
        <w:ind w:hanging="426" w:left="426"/>
        <w:jc w:val="both"/>
        <w:rPr>
          <w:rStyle w:val="C3"/>
          <w:rFonts w:ascii="Courier New" w:hAnsi="Courier New"/>
        </w:rPr>
      </w:pPr>
      <w:r>
        <w:rPr>
          <w:rStyle w:val="C3"/>
          <w:rFonts w:ascii="Courier New" w:hAnsi="Courier New"/>
        </w:rPr>
        <w:t xml:space="preserve">   2-En cuotas, con la siguiente modalidad: el contribuyente que opte por el pago en cuotas, deberá abonar al momento de la suscripción un anticipo equivalente al TREINTA POR CIENTO (30%),  del total de la deuda sometida a plan de pagos, cubriendo gastos preparatorios de subasta, aportes e impuestos de justicia, la suma que resulte mayor y el saldo hasta en DOCE (12) cuotas mensuales.</w:t>
      </w:r>
    </w:p>
    <w:p>
      <w:pPr>
        <w:ind w:hanging="426" w:left="426"/>
        <w:jc w:val="both"/>
        <w:rPr>
          <w:rStyle w:val="C3"/>
          <w:rFonts w:ascii="Courier New" w:hAnsi="Courier New"/>
        </w:rPr>
      </w:pPr>
    </w:p>
    <w:p>
      <w:pPr>
        <w:ind w:hanging="426" w:left="426"/>
        <w:jc w:val="both"/>
        <w:rPr>
          <w:rStyle w:val="C3"/>
          <w:rFonts w:ascii="Courier New" w:hAnsi="Courier New"/>
        </w:rPr>
      </w:pPr>
    </w:p>
    <w:p>
      <w:pPr>
        <w:numPr>
          <w:ilvl w:val="0"/>
          <w:numId w:val="37"/>
        </w:numPr>
        <w:jc w:val="both"/>
        <w:rPr>
          <w:rStyle w:val="C3"/>
          <w:rFonts w:ascii="Courier New" w:hAnsi="Courier New"/>
        </w:rPr>
      </w:pPr>
      <w:r>
        <w:rPr>
          <w:rStyle w:val="C3"/>
          <w:rFonts w:ascii="Courier New" w:hAnsi="Courier New"/>
        </w:rPr>
        <w:t xml:space="preserve">DEUDA EN GESTIÓN  EXTRAJUDICIAL:</w:t>
      </w:r>
    </w:p>
    <w:p>
      <w:pPr>
        <w:ind w:hanging="426" w:left="426"/>
        <w:jc w:val="both"/>
        <w:rPr>
          <w:rStyle w:val="C3"/>
          <w:rFonts w:ascii="Courier New" w:hAnsi="Courier New"/>
        </w:rPr>
      </w:pPr>
      <w:r>
        <w:rPr>
          <w:rStyle w:val="C3"/>
          <w:rFonts w:ascii="Courier New" w:hAnsi="Courier New"/>
        </w:rPr>
        <w:t xml:space="preserve">   1-De contado con un descuento del VEINTE POR CIENTO (20%) de los intereses resarcitorios</w:t>
      </w:r>
    </w:p>
    <w:p>
      <w:pPr>
        <w:ind w:hanging="426" w:left="426"/>
        <w:jc w:val="both"/>
        <w:rPr>
          <w:rStyle w:val="C3"/>
          <w:rFonts w:ascii="Courier New" w:hAnsi="Courier New"/>
        </w:rPr>
      </w:pPr>
      <w:r>
        <w:rPr>
          <w:rStyle w:val="C3"/>
          <w:rFonts w:ascii="Courier New" w:hAnsi="Courier New"/>
        </w:rPr>
        <w:t xml:space="preserve">   2-En cuotas, con la siguiente modalidad: el contribuyente que opte por el pago en cuotas, deberá abonar al momento de la suscripción un anticipo equivalente al TREINTA POR CIENTO (30%) del total de la deuda sometida a plan de pagos, y el saldo hasta en DOCE (12) cuotas.</w:t>
      </w:r>
    </w:p>
    <w:p>
      <w:pPr>
        <w:ind w:hanging="426" w:left="426"/>
        <w:jc w:val="both"/>
        <w:rPr>
          <w:rStyle w:val="C3"/>
          <w:rFonts w:ascii="Courier New" w:hAnsi="Courier New"/>
        </w:rPr>
      </w:pPr>
      <w:r>
        <w:rPr>
          <w:rStyle w:val="C3"/>
          <w:rFonts w:ascii="Courier New" w:hAnsi="Courier New"/>
        </w:rPr>
        <w:t xml:space="preserve">   El anticipo deberá cancelar el total de los períodos cuyo término de prescripción culmine en el año de acogimiento al plan de pagos.</w:t>
      </w:r>
    </w:p>
    <w:p>
      <w:pPr>
        <w:ind w:hanging="426" w:left="426"/>
        <w:jc w:val="both"/>
        <w:rPr>
          <w:rStyle w:val="C3"/>
          <w:rFonts w:ascii="Courier New" w:hAnsi="Courier New"/>
        </w:rPr>
      </w:pPr>
      <w:r>
        <w:rPr>
          <w:rStyle w:val="C3"/>
          <w:rFonts w:ascii="Courier New" w:hAnsi="Courier New"/>
        </w:rPr>
        <w:t xml:space="preserve">   Los distintos tipos de categorización de deuda establecidos precedentemente, darán lugar a planes de pagos separados e independientes.</w:t>
      </w: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rPr>
        <w:t>...///4.-</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Art.7</w:t>
      </w:r>
      <w:r>
        <w:rPr>
          <w:rStyle w:val="C3"/>
          <w:rFonts w:ascii="Courier New" w:hAnsi="Courier New"/>
          <w:b w:val="1"/>
        </w:rPr>
        <w:t xml:space="preserve">: </w:t>
      </w:r>
      <w:r>
        <w:rPr>
          <w:rStyle w:val="C3"/>
          <w:rFonts w:ascii="Courier New" w:hAnsi="Courier New"/>
          <w:b w:val="1"/>
        </w:rPr>
        <w:t xml:space="preserve">LA </w:t>
      </w:r>
      <w:r>
        <w:rPr>
          <w:rStyle w:val="C3"/>
          <w:rFonts w:ascii="Courier New" w:hAnsi="Courier New"/>
        </w:rPr>
        <w:t xml:space="preserve">adopción de planes, establecida por esta ordenanza, no producirá la novación de las obligaciones incluidas en el mismo, sino solo el compromiso de abonarlas en cuotas, implicando exclusivamente una alteración relativa al tiempo y modo de cumplimiento, dejando intacto sus elementos principales (sujeto, objeto y causa). Sin perjuicio de ello, la suscripción del plan de pago conlleva el allanamiento liso y llano a la  demanda    e implica,  el    reconocimiento  de  la    interrupción de cualquier término de prescripción que estuviere corriendo, el reconocimiento expreso y asunción de la deuda, del estado procesal de la causa, y no significa espera, quita o nuevo plazo. La firma del convenio de pago impide al contribuyente hacer valer el instituto de la perención de instancia en el proceso judicial que sea parte.</w:t>
      </w:r>
    </w:p>
    <w:p>
      <w:pPr>
        <w:ind w:hanging="426" w:left="426"/>
        <w:jc w:val="both"/>
        <w:rPr>
          <w:rStyle w:val="C3"/>
          <w:rFonts w:ascii="Courier New" w:hAnsi="Courier New"/>
        </w:rPr>
      </w:pPr>
    </w:p>
    <w:p>
      <w:pPr>
        <w:ind w:hanging="426" w:left="426"/>
        <w:jc w:val="both"/>
        <w:rPr>
          <w:rStyle w:val="C3"/>
          <w:rFonts w:ascii="Courier New" w:hAnsi="Courier New"/>
          <w:b w:val="1"/>
        </w:rPr>
      </w:pPr>
      <w:r>
        <w:rPr>
          <w:rStyle w:val="C3"/>
          <w:rFonts w:ascii="Courier New" w:hAnsi="Courier New"/>
          <w:b w:val="1"/>
          <w:u w:val="single"/>
        </w:rPr>
        <w:t>Art.8</w:t>
      </w:r>
      <w:r>
        <w:rPr>
          <w:rStyle w:val="C3"/>
          <w:rFonts w:ascii="Courier New" w:hAnsi="Courier New"/>
          <w:b w:val="1"/>
        </w:rPr>
        <w:t xml:space="preserve">: </w:t>
      </w:r>
      <w:r>
        <w:rPr>
          <w:rStyle w:val="C3"/>
          <w:rFonts w:ascii="Courier New" w:hAnsi="Courier New"/>
          <w:b w:val="1"/>
        </w:rPr>
        <w:t xml:space="preserve">LA </w:t>
      </w:r>
      <w:r>
        <w:rPr>
          <w:rStyle w:val="C3"/>
          <w:rFonts w:ascii="Courier New" w:hAnsi="Courier New"/>
        </w:rPr>
        <w:t>adhesión al plan de financiación de deuda en cualquiera de las modalidades establecidas en los artículos precedentes, posee el carácter de declaración jurada e implica el expreso reconocimiento y asunción de la deuda y sus accesorios cuya financiación se solicita.</w:t>
      </w:r>
    </w:p>
    <w:p>
      <w:pPr>
        <w:ind w:hanging="426" w:left="426"/>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Art.9</w:t>
      </w:r>
      <w:r>
        <w:rPr>
          <w:rStyle w:val="C3"/>
          <w:rFonts w:ascii="Courier New" w:hAnsi="Courier New"/>
          <w:b w:val="1"/>
        </w:rPr>
        <w:t xml:space="preserve">: </w:t>
      </w:r>
      <w:r>
        <w:rPr>
          <w:rStyle w:val="C3"/>
          <w:rFonts w:ascii="Courier New" w:hAnsi="Courier New"/>
          <w:b w:val="1"/>
        </w:rPr>
        <w:t xml:space="preserve">LA </w:t>
      </w:r>
      <w:r>
        <w:rPr>
          <w:rStyle w:val="C3"/>
          <w:rFonts w:ascii="Courier New" w:hAnsi="Courier New"/>
        </w:rPr>
        <w:t>adhesión al régimen de financiación de deudas, se efectivizará al momento de la cancelación del anticipo, o primera cuota para el caso de que la opción no disponga de anticipo</w:t>
      </w:r>
      <w:r>
        <w:rPr>
          <w:rStyle w:val="C3"/>
          <w:rFonts w:ascii="Courier New" w:hAnsi="Courier New"/>
          <w:b w:val="1"/>
        </w:rPr>
        <w:t>.</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Art.10</w:t>
      </w:r>
      <w:r>
        <w:rPr>
          <w:rStyle w:val="C3"/>
          <w:rFonts w:ascii="Courier New" w:hAnsi="Courier New"/>
          <w:b w:val="1"/>
        </w:rPr>
        <w:t xml:space="preserve">: </w:t>
      </w:r>
      <w:r>
        <w:rPr>
          <w:rStyle w:val="C3"/>
          <w:rFonts w:ascii="Courier New" w:hAnsi="Courier New"/>
        </w:rPr>
        <w:t xml:space="preserve">La falta de pago de: a)  dos (2) cuotas consecutivas;  b) tres (3) alternadas; o c) de cualquiera de las cuotas transcurridos noventa (90) días corridos de su vencimiento; hará incurrir al contribuyente en mora produciéndose la caducidad automática del plan de pago, sin necesidad de emplazamiento o notificación alguna.</w:t>
      </w:r>
    </w:p>
    <w:p>
      <w:pPr>
        <w:ind w:hanging="426" w:left="426"/>
        <w:jc w:val="both"/>
        <w:rPr>
          <w:rStyle w:val="C3"/>
          <w:rFonts w:ascii="Courier New" w:hAnsi="Courier New"/>
        </w:rPr>
      </w:pPr>
      <w:r>
        <w:rPr>
          <w:rStyle w:val="C3"/>
          <w:rFonts w:ascii="Courier New" w:hAnsi="Courier New"/>
        </w:rPr>
        <w:t xml:space="preserve">   Sin perjuicio de lo antes expresado, por la falta de pago de las Tasas, Servicios y Contribuciones con vencimiento posterior a la fecha de adhesión y mientras tenga vigencia el plan otorgado, se podrá declarar la caducidad de éste.</w:t>
      </w:r>
    </w:p>
    <w:p>
      <w:pPr>
        <w:ind w:hanging="426" w:left="426"/>
        <w:jc w:val="both"/>
        <w:rPr>
          <w:rStyle w:val="C3"/>
          <w:rFonts w:ascii="Courier New" w:hAnsi="Courier New"/>
        </w:rPr>
      </w:pPr>
      <w:r>
        <w:rPr>
          <w:rStyle w:val="C3"/>
          <w:rFonts w:ascii="Courier New" w:hAnsi="Courier New"/>
        </w:rPr>
        <w:t xml:space="preserve">   En el supuesto de caducidad del plan por falta de pago, los importes abonados, detraídos los intereses de financiación, serán aplicados al pago a cuenta de los períodos vencidos incluidos originalmente, comenzando por el más antiguo, hasta la concurrencia.</w:t>
      </w:r>
    </w:p>
    <w:p>
      <w:pPr>
        <w:ind w:hanging="426" w:left="426"/>
        <w:jc w:val="right"/>
        <w:rPr>
          <w:rStyle w:val="C3"/>
          <w:rFonts w:ascii="Courier New" w:hAnsi="Courier New"/>
        </w:rPr>
      </w:pPr>
      <w:r>
        <w:rPr>
          <w:rStyle w:val="C3"/>
          <w:rFonts w:ascii="Courier New" w:hAnsi="Courier New"/>
        </w:rPr>
        <w:t xml:space="preserve">...///   </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...///5.-</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   Determinada la caducidad del plan se iniciarán o continuarán sin más trámite las gestiones judiciales, según el estado al momento del presente régimen, para el cobro de la deuda total impaga.</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Art.11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LOS </w:t>
      </w:r>
      <w:r>
        <w:rPr>
          <w:rStyle w:val="C3"/>
          <w:rFonts w:ascii="Courier New" w:hAnsi="Courier New"/>
        </w:rPr>
        <w:t>contribuyentes y responsables acogidos al presente régimen, podrán cancelar en cualquier momento la totalidad de las cuotas no vencidas del plan de financiación, con deducción proporcional de los intereses de financiación sobre el saldo adeudado no vencido hasta ese momento.</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Art.12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EL </w:t>
      </w:r>
      <w:r>
        <w:rPr>
          <w:rStyle w:val="C3"/>
          <w:rFonts w:ascii="Courier New" w:hAnsi="Courier New"/>
        </w:rPr>
        <w:t>Departamento Ejecutivo podrá prorrogar la vigencia de la presente.</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Art.13</w:t>
      </w:r>
      <w:r>
        <w:rPr>
          <w:rStyle w:val="C3"/>
          <w:rFonts w:ascii="Courier New" w:hAnsi="Courier New"/>
          <w:b w:val="1"/>
        </w:rPr>
        <w:t xml:space="preserve">: </w:t>
      </w:r>
      <w:r>
        <w:rPr>
          <w:rStyle w:val="C3"/>
          <w:rFonts w:ascii="Courier New" w:hAnsi="Courier New"/>
          <w:b w:val="1"/>
        </w:rPr>
        <w:t xml:space="preserve">SE </w:t>
      </w:r>
      <w:r>
        <w:rPr>
          <w:rStyle w:val="C3"/>
          <w:rFonts w:ascii="Courier New" w:hAnsi="Courier New"/>
        </w:rPr>
        <w:t>faculta al Departamento Ejecutivo a fijar la tasa de interés a aplicar a la financiación establecida en la presente.</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Art.14</w:t>
      </w:r>
      <w:r>
        <w:rPr>
          <w:rStyle w:val="C3"/>
          <w:rFonts w:ascii="Courier New" w:hAnsi="Courier New"/>
          <w:b w:val="1"/>
        </w:rPr>
        <w:t xml:space="preserve">: </w:t>
      </w:r>
      <w:r>
        <w:rPr>
          <w:rStyle w:val="C3"/>
          <w:rFonts w:ascii="Courier New" w:hAnsi="Courier New"/>
          <w:b w:val="1"/>
        </w:rPr>
        <w:t xml:space="preserve">LA </w:t>
      </w:r>
      <w:r>
        <w:rPr>
          <w:rStyle w:val="C3"/>
          <w:rFonts w:ascii="Courier New" w:hAnsi="Courier New"/>
        </w:rPr>
        <w:t>suscripción del plan de pagos por quién no sea titular dominial del bien que da lugar al hecho imponible, lo hace a su cuenta y riesgo; no importando el pago ningún reconocimiento de derecho sobre los bienes implicados, con excepción de dar por cancelado total y/o parcialmente, según corresponda, el tributo municipal implicado.</w:t>
      </w:r>
    </w:p>
    <w:p>
      <w:pPr>
        <w:ind w:hanging="426" w:left="426"/>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Art.15</w:t>
      </w:r>
      <w:r>
        <w:rPr>
          <w:rStyle w:val="C3"/>
          <w:rFonts w:ascii="Courier New" w:hAnsi="Courier New"/>
          <w:b w:val="1"/>
        </w:rPr>
        <w:t xml:space="preserve">: </w:t>
      </w:r>
      <w:r>
        <w:rPr>
          <w:rStyle w:val="C3"/>
          <w:rFonts w:ascii="Courier New" w:hAnsi="Courier New"/>
          <w:b w:val="1"/>
        </w:rPr>
        <w:t xml:space="preserve">EL </w:t>
      </w:r>
      <w:r>
        <w:rPr>
          <w:rStyle w:val="C3"/>
          <w:rFonts w:ascii="Courier New" w:hAnsi="Courier New"/>
        </w:rPr>
        <w:t>Departamento Ejecutivo Municipal podrá otorgar planes de pagos especiales, previo informe Social, a aquellos contribuyentes deudores de Tasas o Contribución por Mejoras que graven su única propiedad inmueble, incluso cuando se encuentren en Estado Judicial, previo informe socio económico.</w:t>
      </w: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Art.16</w:t>
      </w:r>
      <w:r>
        <w:rPr>
          <w:rStyle w:val="C3"/>
          <w:rFonts w:ascii="Courier New" w:hAnsi="Courier New"/>
          <w:b w:val="1"/>
        </w:rPr>
        <w:t xml:space="preserve">: </w:t>
      </w:r>
      <w:r>
        <w:rPr>
          <w:rStyle w:val="C3"/>
          <w:rFonts w:ascii="Courier New" w:hAnsi="Courier New"/>
          <w:b w:val="1"/>
        </w:rPr>
        <w:t>DERÓGUESE</w:t>
      </w:r>
      <w:r>
        <w:rPr>
          <w:rStyle w:val="C3"/>
          <w:rFonts w:ascii="Courier New" w:hAnsi="Courier New"/>
        </w:rPr>
        <w:t xml:space="preserve"> toda otra ordenanza que se oponga a la presente.</w:t>
      </w:r>
    </w:p>
    <w:p>
      <w:pPr>
        <w:ind w:hanging="426" w:left="426"/>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Art.1</w:t>
      </w:r>
      <w:r>
        <w:rPr>
          <w:rStyle w:val="C3"/>
          <w:rFonts w:ascii="Courier New" w:hAnsi="Courier New"/>
          <w:b w:val="1"/>
          <w:u w:val="single"/>
        </w:rPr>
        <w:t>7</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pStyle w:val="P17"/>
        <w:spacing w:lineRule="auto" w:line="360"/>
        <w:rPr>
          <w:rStyle w:val="C3"/>
        </w:rPr>
      </w:pPr>
    </w:p>
    <w:p>
      <w:pPr>
        <w:pStyle w:val="P17"/>
        <w:spacing w:lineRule="auto" w:line="360"/>
        <w:rPr>
          <w:rStyle w:val="C3"/>
        </w:rPr>
      </w:pPr>
    </w:p>
    <w:p>
      <w:pPr>
        <w:pStyle w:val="P17"/>
      </w:pPr>
      <w:r>
        <w:t xml:space="preserve">DADA EN LA SALA DE SESIONES DEL HONORABLE CONCEJO DELIBERANTE A LOS DOCE DÍAS DEL MES DICIEMBRE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6232A725">
      <w:start w:val="0"/>
      <w:numFmt w:val="bullet"/>
      <w:suff w:val="tab"/>
      <w:lvlText w:val=""/>
      <w:lvlJc w:val="left"/>
      <w:pPr>
        <w:ind w:hanging="360" w:left="927"/>
      </w:pPr>
      <w:rPr>
        <w:rFonts w:ascii="Symbol" w:hAnsi="Symbol"/>
      </w:rPr>
    </w:lvl>
    <w:lvl w:ilvl="1" w:tplc="7F1C6C9F">
      <w:start w:val="1"/>
      <w:numFmt w:val="bullet"/>
      <w:suff w:val="tab"/>
      <w:lvlText w:val="o"/>
      <w:lvlJc w:val="left"/>
      <w:pPr>
        <w:ind w:hanging="360" w:left="1647"/>
      </w:pPr>
      <w:rPr>
        <w:rFonts w:ascii="Courier New" w:hAnsi="Courier New"/>
      </w:rPr>
    </w:lvl>
    <w:lvl w:ilvl="2" w:tplc="0E377E7D">
      <w:start w:val="1"/>
      <w:numFmt w:val="bullet"/>
      <w:suff w:val="tab"/>
      <w:lvlText w:val=""/>
      <w:lvlJc w:val="left"/>
      <w:pPr>
        <w:ind w:hanging="360" w:left="2367"/>
      </w:pPr>
      <w:rPr>
        <w:rFonts w:ascii="Wingdings" w:hAnsi="Wingdings"/>
      </w:rPr>
    </w:lvl>
    <w:lvl w:ilvl="3" w:tplc="7E7C622E">
      <w:start w:val="1"/>
      <w:numFmt w:val="bullet"/>
      <w:suff w:val="tab"/>
      <w:lvlText w:val=""/>
      <w:lvlJc w:val="left"/>
      <w:pPr>
        <w:ind w:hanging="360" w:left="3087"/>
      </w:pPr>
      <w:rPr>
        <w:rFonts w:ascii="Symbol" w:hAnsi="Symbol"/>
      </w:rPr>
    </w:lvl>
    <w:lvl w:ilvl="4" w:tplc="4C70F03C">
      <w:start w:val="1"/>
      <w:numFmt w:val="bullet"/>
      <w:suff w:val="tab"/>
      <w:lvlText w:val="o"/>
      <w:lvlJc w:val="left"/>
      <w:pPr>
        <w:ind w:hanging="360" w:left="3807"/>
      </w:pPr>
      <w:rPr>
        <w:rFonts w:ascii="Courier New" w:hAnsi="Courier New"/>
      </w:rPr>
    </w:lvl>
    <w:lvl w:ilvl="5" w:tplc="57D1BB2C">
      <w:start w:val="1"/>
      <w:numFmt w:val="bullet"/>
      <w:suff w:val="tab"/>
      <w:lvlText w:val=""/>
      <w:lvlJc w:val="left"/>
      <w:pPr>
        <w:ind w:hanging="360" w:left="4527"/>
      </w:pPr>
      <w:rPr>
        <w:rFonts w:ascii="Wingdings" w:hAnsi="Wingdings"/>
      </w:rPr>
    </w:lvl>
    <w:lvl w:ilvl="6" w:tplc="1FE8E4E3">
      <w:start w:val="1"/>
      <w:numFmt w:val="bullet"/>
      <w:suff w:val="tab"/>
      <w:lvlText w:val=""/>
      <w:lvlJc w:val="left"/>
      <w:pPr>
        <w:ind w:hanging="360" w:left="5247"/>
      </w:pPr>
      <w:rPr>
        <w:rFonts w:ascii="Symbol" w:hAnsi="Symbol"/>
      </w:rPr>
    </w:lvl>
    <w:lvl w:ilvl="7" w:tplc="2755C2A0">
      <w:start w:val="1"/>
      <w:numFmt w:val="bullet"/>
      <w:suff w:val="tab"/>
      <w:lvlText w:val="o"/>
      <w:lvlJc w:val="left"/>
      <w:pPr>
        <w:ind w:hanging="360" w:left="5967"/>
      </w:pPr>
      <w:rPr>
        <w:rFonts w:ascii="Courier New" w:hAnsi="Courier New"/>
      </w:rPr>
    </w:lvl>
    <w:lvl w:ilvl="8" w:tplc="29AA101C">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28B7647"/>
    <w:multiLevelType w:val="hybridMultilevel"/>
    <w:lvl w:ilvl="0" w:tplc="517B42B9">
      <w:start w:val="1"/>
      <w:numFmt w:val="bullet"/>
      <w:suff w:val="tab"/>
      <w:lvlText w:val=""/>
      <w:lvlJc w:val="left"/>
      <w:pPr>
        <w:ind w:hanging="360" w:left="720"/>
      </w:pPr>
      <w:rPr>
        <w:rFonts w:ascii="Symbol" w:hAnsi="Symbol"/>
      </w:rPr>
    </w:lvl>
    <w:lvl w:ilvl="1" w:tplc="6D146BDA">
      <w:start w:val="1"/>
      <w:numFmt w:val="bullet"/>
      <w:suff w:val="tab"/>
      <w:lvlText w:val="o"/>
      <w:lvlJc w:val="left"/>
      <w:pPr>
        <w:ind w:hanging="360" w:left="1440"/>
      </w:pPr>
      <w:rPr>
        <w:rFonts w:ascii="Courier New" w:hAnsi="Courier New"/>
      </w:rPr>
    </w:lvl>
    <w:lvl w:ilvl="2" w:tplc="10DECF17">
      <w:start w:val="1"/>
      <w:numFmt w:val="bullet"/>
      <w:suff w:val="tab"/>
      <w:lvlText w:val=""/>
      <w:lvlJc w:val="left"/>
      <w:pPr>
        <w:ind w:hanging="360" w:left="2160"/>
      </w:pPr>
      <w:rPr>
        <w:rFonts w:ascii="Wingdings" w:hAnsi="Wingdings"/>
      </w:rPr>
    </w:lvl>
    <w:lvl w:ilvl="3" w:tplc="2F67B0E9">
      <w:start w:val="1"/>
      <w:numFmt w:val="bullet"/>
      <w:suff w:val="tab"/>
      <w:lvlText w:val=""/>
      <w:lvlJc w:val="left"/>
      <w:pPr>
        <w:ind w:hanging="360" w:left="2880"/>
      </w:pPr>
      <w:rPr>
        <w:rFonts w:ascii="Symbol" w:hAnsi="Symbol"/>
      </w:rPr>
    </w:lvl>
    <w:lvl w:ilvl="4" w:tplc="4A5E2E38">
      <w:start w:val="1"/>
      <w:numFmt w:val="bullet"/>
      <w:suff w:val="tab"/>
      <w:lvlText w:val="o"/>
      <w:lvlJc w:val="left"/>
      <w:pPr>
        <w:ind w:hanging="360" w:left="3600"/>
      </w:pPr>
      <w:rPr>
        <w:rFonts w:ascii="Courier New" w:hAnsi="Courier New"/>
      </w:rPr>
    </w:lvl>
    <w:lvl w:ilvl="5" w:tplc="77BEA01C">
      <w:start w:val="1"/>
      <w:numFmt w:val="bullet"/>
      <w:suff w:val="tab"/>
      <w:lvlText w:val=""/>
      <w:lvlJc w:val="left"/>
      <w:pPr>
        <w:ind w:hanging="360" w:left="4320"/>
      </w:pPr>
      <w:rPr>
        <w:rFonts w:ascii="Wingdings" w:hAnsi="Wingdings"/>
      </w:rPr>
    </w:lvl>
    <w:lvl w:ilvl="6" w:tplc="2CE52603">
      <w:start w:val="1"/>
      <w:numFmt w:val="bullet"/>
      <w:suff w:val="tab"/>
      <w:lvlText w:val=""/>
      <w:lvlJc w:val="left"/>
      <w:pPr>
        <w:ind w:hanging="360" w:left="5040"/>
      </w:pPr>
      <w:rPr>
        <w:rFonts w:ascii="Symbol" w:hAnsi="Symbol"/>
      </w:rPr>
    </w:lvl>
    <w:lvl w:ilvl="7" w:tplc="49ACF73F">
      <w:start w:val="1"/>
      <w:numFmt w:val="bullet"/>
      <w:suff w:val="tab"/>
      <w:lvlText w:val="o"/>
      <w:lvlJc w:val="left"/>
      <w:pPr>
        <w:ind w:hanging="360" w:left="5760"/>
      </w:pPr>
      <w:rPr>
        <w:rFonts w:ascii="Courier New" w:hAnsi="Courier New"/>
      </w:rPr>
    </w:lvl>
    <w:lvl w:ilvl="8" w:tplc="286631FA">
      <w:start w:val="1"/>
      <w:numFmt w:val="bullet"/>
      <w:suff w:val="tab"/>
      <w:lvlText w:val=""/>
      <w:lvlJc w:val="left"/>
      <w:pPr>
        <w:ind w:hanging="360" w:left="6480"/>
      </w:pPr>
      <w:rPr>
        <w:rFonts w:ascii="Wingdings" w:hAnsi="Wingdings"/>
      </w:rPr>
    </w:lvl>
  </w:abstractNum>
  <w:abstractNum w:abstractNumId="11">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2">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24F459C5"/>
    <w:multiLevelType w:val="hybridMultilevel"/>
    <w:lvl w:ilvl="0" w:tplc="76E1D7B4">
      <w:start w:val="0"/>
      <w:numFmt w:val="bullet"/>
      <w:suff w:val="tab"/>
      <w:lvlText w:val="-"/>
      <w:lvlJc w:val="left"/>
      <w:pPr>
        <w:ind w:hanging="360" w:left="720"/>
        <w:tabs>
          <w:tab w:val="left" w:pos="720" w:leader="none"/>
        </w:tabs>
      </w:pPr>
      <w:rPr>
        <w:rFonts w:ascii="Times New Roman" w:hAnsi="Times New Roman"/>
      </w:rPr>
    </w:lvl>
    <w:lvl w:ilvl="1" w:tplc="5F95C4B1">
      <w:start w:val="1"/>
      <w:numFmt w:val="bullet"/>
      <w:suff w:val="tab"/>
      <w:lvlText w:val="o"/>
      <w:lvlJc w:val="left"/>
      <w:pPr>
        <w:ind w:hanging="360" w:left="1440"/>
        <w:tabs>
          <w:tab w:val="left" w:pos="1440" w:leader="none"/>
        </w:tabs>
      </w:pPr>
      <w:rPr>
        <w:rFonts w:ascii="Courier New" w:hAnsi="Courier New"/>
      </w:rPr>
    </w:lvl>
    <w:lvl w:ilvl="2" w:tplc="6F10A1D0">
      <w:start w:val="1"/>
      <w:numFmt w:val="bullet"/>
      <w:suff w:val="tab"/>
      <w:lvlText w:val=""/>
      <w:lvlJc w:val="left"/>
      <w:pPr>
        <w:ind w:hanging="360" w:left="2160"/>
        <w:tabs>
          <w:tab w:val="left" w:pos="2160" w:leader="none"/>
        </w:tabs>
      </w:pPr>
      <w:rPr>
        <w:rFonts w:ascii="Wingdings" w:hAnsi="Wingdings"/>
      </w:rPr>
    </w:lvl>
    <w:lvl w:ilvl="3" w:tplc="1FA6F648">
      <w:start w:val="1"/>
      <w:numFmt w:val="bullet"/>
      <w:suff w:val="tab"/>
      <w:lvlText w:val=""/>
      <w:lvlJc w:val="left"/>
      <w:pPr>
        <w:ind w:hanging="360" w:left="2880"/>
        <w:tabs>
          <w:tab w:val="left" w:pos="2880" w:leader="none"/>
        </w:tabs>
      </w:pPr>
      <w:rPr>
        <w:rFonts w:ascii="Symbol" w:hAnsi="Symbol"/>
      </w:rPr>
    </w:lvl>
    <w:lvl w:ilvl="4" w:tplc="43DD8CD9">
      <w:start w:val="1"/>
      <w:numFmt w:val="bullet"/>
      <w:suff w:val="tab"/>
      <w:lvlText w:val="o"/>
      <w:lvlJc w:val="left"/>
      <w:pPr>
        <w:ind w:hanging="360" w:left="3600"/>
        <w:tabs>
          <w:tab w:val="left" w:pos="3600" w:leader="none"/>
        </w:tabs>
      </w:pPr>
      <w:rPr>
        <w:rFonts w:ascii="Courier New" w:hAnsi="Courier New"/>
      </w:rPr>
    </w:lvl>
    <w:lvl w:ilvl="5" w:tplc="0545F929">
      <w:start w:val="1"/>
      <w:numFmt w:val="bullet"/>
      <w:suff w:val="tab"/>
      <w:lvlText w:val=""/>
      <w:lvlJc w:val="left"/>
      <w:pPr>
        <w:ind w:hanging="360" w:left="4320"/>
        <w:tabs>
          <w:tab w:val="left" w:pos="4320" w:leader="none"/>
        </w:tabs>
      </w:pPr>
      <w:rPr>
        <w:rFonts w:ascii="Wingdings" w:hAnsi="Wingdings"/>
      </w:rPr>
    </w:lvl>
    <w:lvl w:ilvl="6" w:tplc="2EA46EAF">
      <w:start w:val="1"/>
      <w:numFmt w:val="bullet"/>
      <w:suff w:val="tab"/>
      <w:lvlText w:val=""/>
      <w:lvlJc w:val="left"/>
      <w:pPr>
        <w:ind w:hanging="360" w:left="5040"/>
        <w:tabs>
          <w:tab w:val="left" w:pos="5040" w:leader="none"/>
        </w:tabs>
      </w:pPr>
      <w:rPr>
        <w:rFonts w:ascii="Symbol" w:hAnsi="Symbol"/>
      </w:rPr>
    </w:lvl>
    <w:lvl w:ilvl="7" w:tplc="67EC1FBE">
      <w:start w:val="1"/>
      <w:numFmt w:val="bullet"/>
      <w:suff w:val="tab"/>
      <w:lvlText w:val="o"/>
      <w:lvlJc w:val="left"/>
      <w:pPr>
        <w:ind w:hanging="360" w:left="5760"/>
        <w:tabs>
          <w:tab w:val="left" w:pos="5760" w:leader="none"/>
        </w:tabs>
      </w:pPr>
      <w:rPr>
        <w:rFonts w:ascii="Courier New" w:hAnsi="Courier New"/>
      </w:rPr>
    </w:lvl>
    <w:lvl w:ilvl="8" w:tplc="1A0C6C38">
      <w:start w:val="1"/>
      <w:numFmt w:val="bullet"/>
      <w:suff w:val="tab"/>
      <w:lvlText w:val=""/>
      <w:lvlJc w:val="left"/>
      <w:pPr>
        <w:ind w:hanging="360" w:left="6480"/>
        <w:tabs>
          <w:tab w:val="left" w:pos="6480" w:leader="none"/>
        </w:tabs>
      </w:pPr>
      <w:rPr>
        <w:rFonts w:ascii="Wingdings" w:hAnsi="Wingdings"/>
      </w:rPr>
    </w:lvl>
  </w:abstractNum>
  <w:abstractNum w:abstractNumId="14">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5">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6">
    <w:nsid w:val="3A700CB9"/>
    <w:multiLevelType w:val="hybridMultilevel"/>
    <w:lvl w:ilvl="0" w:tplc="12467100">
      <w:start w:val="1"/>
      <w:numFmt w:val="bullet"/>
      <w:suff w:val="tab"/>
      <w:lvlText w:val=""/>
      <w:lvlJc w:val="left"/>
      <w:pPr>
        <w:ind w:hanging="360" w:left="720"/>
        <w:tabs>
          <w:tab w:val="left" w:pos="720" w:leader="none"/>
        </w:tabs>
      </w:pPr>
      <w:rPr>
        <w:rFonts w:ascii="Symbol" w:hAnsi="Symbol"/>
      </w:rPr>
    </w:lvl>
    <w:lvl w:ilvl="1" w:tplc="762A4364">
      <w:start w:val="1"/>
      <w:numFmt w:val="bullet"/>
      <w:suff w:val="tab"/>
      <w:lvlText w:val="o"/>
      <w:lvlJc w:val="left"/>
      <w:pPr>
        <w:ind w:hanging="360" w:left="1440"/>
        <w:tabs>
          <w:tab w:val="left" w:pos="1440" w:leader="none"/>
        </w:tabs>
      </w:pPr>
      <w:rPr>
        <w:rFonts w:ascii="Courier New" w:hAnsi="Courier New"/>
      </w:rPr>
    </w:lvl>
    <w:lvl w:ilvl="2" w:tplc="39E98B6D">
      <w:start w:val="1"/>
      <w:numFmt w:val="bullet"/>
      <w:suff w:val="tab"/>
      <w:lvlText w:val=""/>
      <w:lvlJc w:val="left"/>
      <w:pPr>
        <w:ind w:hanging="360" w:left="2160"/>
        <w:tabs>
          <w:tab w:val="left" w:pos="2160" w:leader="none"/>
        </w:tabs>
      </w:pPr>
      <w:rPr>
        <w:rFonts w:ascii="Wingdings" w:hAnsi="Wingdings"/>
      </w:rPr>
    </w:lvl>
    <w:lvl w:ilvl="3" w:tplc="33E85B4C">
      <w:start w:val="1"/>
      <w:numFmt w:val="bullet"/>
      <w:suff w:val="tab"/>
      <w:lvlText w:val=""/>
      <w:lvlJc w:val="left"/>
      <w:pPr>
        <w:ind w:hanging="360" w:left="2880"/>
        <w:tabs>
          <w:tab w:val="left" w:pos="2880" w:leader="none"/>
        </w:tabs>
      </w:pPr>
      <w:rPr>
        <w:rFonts w:ascii="Symbol" w:hAnsi="Symbol"/>
      </w:rPr>
    </w:lvl>
    <w:lvl w:ilvl="4" w:tplc="40032F30">
      <w:start w:val="1"/>
      <w:numFmt w:val="bullet"/>
      <w:suff w:val="tab"/>
      <w:lvlText w:val="o"/>
      <w:lvlJc w:val="left"/>
      <w:pPr>
        <w:ind w:hanging="360" w:left="3600"/>
        <w:tabs>
          <w:tab w:val="left" w:pos="3600" w:leader="none"/>
        </w:tabs>
      </w:pPr>
      <w:rPr>
        <w:rFonts w:ascii="Courier New" w:hAnsi="Courier New"/>
      </w:rPr>
    </w:lvl>
    <w:lvl w:ilvl="5" w:tplc="30BC1CBF">
      <w:start w:val="1"/>
      <w:numFmt w:val="bullet"/>
      <w:suff w:val="tab"/>
      <w:lvlText w:val=""/>
      <w:lvlJc w:val="left"/>
      <w:pPr>
        <w:ind w:hanging="360" w:left="4320"/>
        <w:tabs>
          <w:tab w:val="left" w:pos="4320" w:leader="none"/>
        </w:tabs>
      </w:pPr>
      <w:rPr>
        <w:rFonts w:ascii="Wingdings" w:hAnsi="Wingdings"/>
      </w:rPr>
    </w:lvl>
    <w:lvl w:ilvl="6" w:tplc="28EF7876">
      <w:start w:val="1"/>
      <w:numFmt w:val="bullet"/>
      <w:suff w:val="tab"/>
      <w:lvlText w:val=""/>
      <w:lvlJc w:val="left"/>
      <w:pPr>
        <w:ind w:hanging="360" w:left="5040"/>
        <w:tabs>
          <w:tab w:val="left" w:pos="5040" w:leader="none"/>
        </w:tabs>
      </w:pPr>
      <w:rPr>
        <w:rFonts w:ascii="Symbol" w:hAnsi="Symbol"/>
      </w:rPr>
    </w:lvl>
    <w:lvl w:ilvl="7" w:tplc="339E3BE8">
      <w:start w:val="1"/>
      <w:numFmt w:val="bullet"/>
      <w:suff w:val="tab"/>
      <w:lvlText w:val="o"/>
      <w:lvlJc w:val="left"/>
      <w:pPr>
        <w:ind w:hanging="360" w:left="5760"/>
        <w:tabs>
          <w:tab w:val="left" w:pos="5760" w:leader="none"/>
        </w:tabs>
      </w:pPr>
      <w:rPr>
        <w:rFonts w:ascii="Courier New" w:hAnsi="Courier New"/>
      </w:rPr>
    </w:lvl>
    <w:lvl w:ilvl="8" w:tplc="1DCEA703">
      <w:start w:val="1"/>
      <w:numFmt w:val="bullet"/>
      <w:suff w:val="tab"/>
      <w:lvlText w:val=""/>
      <w:lvlJc w:val="left"/>
      <w:pPr>
        <w:ind w:hanging="360" w:left="6480"/>
        <w:tabs>
          <w:tab w:val="left" w:pos="6480" w:leader="none"/>
        </w:tabs>
      </w:pPr>
      <w:rPr>
        <w:rFonts w:ascii="Wingdings" w:hAnsi="Wingdings"/>
      </w:rPr>
    </w:lvl>
  </w:abstractNum>
  <w:abstractNum w:abstractNumId="17">
    <w:nsid w:val="46FA1879"/>
    <w:multiLevelType w:val="hybridMultilevel"/>
    <w:lvl w:ilvl="0" w:tplc="0A8B9EEE">
      <w:start w:val="1"/>
      <w:numFmt w:val="bullet"/>
      <w:suff w:val="tab"/>
      <w:lvlText w:val=""/>
      <w:lvlJc w:val="left"/>
      <w:pPr>
        <w:ind w:hanging="360" w:left="720"/>
      </w:pPr>
      <w:rPr>
        <w:rFonts w:ascii="Symbol" w:hAnsi="Symbol"/>
      </w:rPr>
    </w:lvl>
    <w:lvl w:ilvl="1" w:tplc="5EB8A5F0">
      <w:start w:val="1"/>
      <w:numFmt w:val="bullet"/>
      <w:suff w:val="tab"/>
      <w:lvlText w:val="o"/>
      <w:lvlJc w:val="left"/>
      <w:pPr>
        <w:ind w:hanging="360" w:left="1440"/>
      </w:pPr>
      <w:rPr>
        <w:rFonts w:ascii="Courier New" w:hAnsi="Courier New"/>
      </w:rPr>
    </w:lvl>
    <w:lvl w:ilvl="2" w:tplc="28B28E45">
      <w:start w:val="1"/>
      <w:numFmt w:val="bullet"/>
      <w:suff w:val="tab"/>
      <w:lvlText w:val=""/>
      <w:lvlJc w:val="left"/>
      <w:pPr>
        <w:ind w:hanging="360" w:left="2160"/>
      </w:pPr>
      <w:rPr>
        <w:rFonts w:ascii="Wingdings" w:hAnsi="Wingdings"/>
      </w:rPr>
    </w:lvl>
    <w:lvl w:ilvl="3" w:tplc="486380B0">
      <w:start w:val="1"/>
      <w:numFmt w:val="bullet"/>
      <w:suff w:val="tab"/>
      <w:lvlText w:val=""/>
      <w:lvlJc w:val="left"/>
      <w:pPr>
        <w:ind w:hanging="360" w:left="2880"/>
      </w:pPr>
      <w:rPr>
        <w:rFonts w:ascii="Symbol" w:hAnsi="Symbol"/>
      </w:rPr>
    </w:lvl>
    <w:lvl w:ilvl="4" w:tplc="5D045000">
      <w:start w:val="1"/>
      <w:numFmt w:val="bullet"/>
      <w:suff w:val="tab"/>
      <w:lvlText w:val="o"/>
      <w:lvlJc w:val="left"/>
      <w:pPr>
        <w:ind w:hanging="360" w:left="3600"/>
      </w:pPr>
      <w:rPr>
        <w:rFonts w:ascii="Courier New" w:hAnsi="Courier New"/>
      </w:rPr>
    </w:lvl>
    <w:lvl w:ilvl="5" w:tplc="157A182E">
      <w:start w:val="1"/>
      <w:numFmt w:val="bullet"/>
      <w:suff w:val="tab"/>
      <w:lvlText w:val=""/>
      <w:lvlJc w:val="left"/>
      <w:pPr>
        <w:ind w:hanging="360" w:left="4320"/>
      </w:pPr>
      <w:rPr>
        <w:rFonts w:ascii="Wingdings" w:hAnsi="Wingdings"/>
      </w:rPr>
    </w:lvl>
    <w:lvl w:ilvl="6" w:tplc="147F21D2">
      <w:start w:val="1"/>
      <w:numFmt w:val="bullet"/>
      <w:suff w:val="tab"/>
      <w:lvlText w:val=""/>
      <w:lvlJc w:val="left"/>
      <w:pPr>
        <w:ind w:hanging="360" w:left="5040"/>
      </w:pPr>
      <w:rPr>
        <w:rFonts w:ascii="Symbol" w:hAnsi="Symbol"/>
      </w:rPr>
    </w:lvl>
    <w:lvl w:ilvl="7" w:tplc="2889C9AC">
      <w:start w:val="1"/>
      <w:numFmt w:val="bullet"/>
      <w:suff w:val="tab"/>
      <w:lvlText w:val="o"/>
      <w:lvlJc w:val="left"/>
      <w:pPr>
        <w:ind w:hanging="360" w:left="5760"/>
      </w:pPr>
      <w:rPr>
        <w:rFonts w:ascii="Courier New" w:hAnsi="Courier New"/>
      </w:rPr>
    </w:lvl>
    <w:lvl w:ilvl="8" w:tplc="2E00FC2E">
      <w:start w:val="1"/>
      <w:numFmt w:val="bullet"/>
      <w:suff w:val="tab"/>
      <w:lvlText w:val=""/>
      <w:lvlJc w:val="left"/>
      <w:pPr>
        <w:ind w:hanging="360" w:left="6480"/>
      </w:pPr>
      <w:rPr>
        <w:rFonts w:ascii="Wingdings" w:hAnsi="Wingdings"/>
      </w:rPr>
    </w:lvl>
  </w:abstractNum>
  <w:abstractNum w:abstractNumId="18">
    <w:nsid w:val="475127CD"/>
    <w:multiLevelType w:val="hybridMultilevel"/>
    <w:lvl w:ilvl="0" w:tplc="24117BBA">
      <w:start w:val="1"/>
      <w:numFmt w:val="bullet"/>
      <w:suff w:val="tab"/>
      <w:lvlText w:val=""/>
      <w:lvlJc w:val="left"/>
      <w:pPr>
        <w:ind w:hanging="360" w:left="720"/>
      </w:pPr>
      <w:rPr>
        <w:rFonts w:ascii="Symbol" w:hAnsi="Symbol"/>
      </w:rPr>
    </w:lvl>
    <w:lvl w:ilvl="1" w:tplc="3BCBE97A">
      <w:start w:val="1"/>
      <w:numFmt w:val="bullet"/>
      <w:suff w:val="tab"/>
      <w:lvlText w:val="o"/>
      <w:lvlJc w:val="left"/>
      <w:pPr>
        <w:ind w:hanging="360" w:left="1440"/>
      </w:pPr>
      <w:rPr>
        <w:rFonts w:ascii="Courier New" w:hAnsi="Courier New"/>
      </w:rPr>
    </w:lvl>
    <w:lvl w:ilvl="2" w:tplc="0B018EA8">
      <w:start w:val="1"/>
      <w:numFmt w:val="bullet"/>
      <w:suff w:val="tab"/>
      <w:lvlText w:val=""/>
      <w:lvlJc w:val="left"/>
      <w:pPr>
        <w:ind w:hanging="360" w:left="2160"/>
      </w:pPr>
      <w:rPr>
        <w:rFonts w:ascii="Wingdings" w:hAnsi="Wingdings"/>
      </w:rPr>
    </w:lvl>
    <w:lvl w:ilvl="3" w:tplc="3D1FB063">
      <w:start w:val="1"/>
      <w:numFmt w:val="bullet"/>
      <w:suff w:val="tab"/>
      <w:lvlText w:val=""/>
      <w:lvlJc w:val="left"/>
      <w:pPr>
        <w:ind w:hanging="360" w:left="2880"/>
      </w:pPr>
      <w:rPr>
        <w:rFonts w:ascii="Symbol" w:hAnsi="Symbol"/>
      </w:rPr>
    </w:lvl>
    <w:lvl w:ilvl="4" w:tplc="35D1E488">
      <w:start w:val="1"/>
      <w:numFmt w:val="bullet"/>
      <w:suff w:val="tab"/>
      <w:lvlText w:val="o"/>
      <w:lvlJc w:val="left"/>
      <w:pPr>
        <w:ind w:hanging="360" w:left="3600"/>
      </w:pPr>
      <w:rPr>
        <w:rFonts w:ascii="Courier New" w:hAnsi="Courier New"/>
      </w:rPr>
    </w:lvl>
    <w:lvl w:ilvl="5" w:tplc="3B348B74">
      <w:start w:val="1"/>
      <w:numFmt w:val="bullet"/>
      <w:suff w:val="tab"/>
      <w:lvlText w:val=""/>
      <w:lvlJc w:val="left"/>
      <w:pPr>
        <w:ind w:hanging="360" w:left="4320"/>
      </w:pPr>
      <w:rPr>
        <w:rFonts w:ascii="Wingdings" w:hAnsi="Wingdings"/>
      </w:rPr>
    </w:lvl>
    <w:lvl w:ilvl="6" w:tplc="7C8F1D5B">
      <w:start w:val="1"/>
      <w:numFmt w:val="bullet"/>
      <w:suff w:val="tab"/>
      <w:lvlText w:val=""/>
      <w:lvlJc w:val="left"/>
      <w:pPr>
        <w:ind w:hanging="360" w:left="5040"/>
      </w:pPr>
      <w:rPr>
        <w:rFonts w:ascii="Symbol" w:hAnsi="Symbol"/>
      </w:rPr>
    </w:lvl>
    <w:lvl w:ilvl="7" w:tplc="28BA00A4">
      <w:start w:val="1"/>
      <w:numFmt w:val="bullet"/>
      <w:suff w:val="tab"/>
      <w:lvlText w:val="o"/>
      <w:lvlJc w:val="left"/>
      <w:pPr>
        <w:ind w:hanging="360" w:left="5760"/>
      </w:pPr>
      <w:rPr>
        <w:rFonts w:ascii="Courier New" w:hAnsi="Courier New"/>
      </w:rPr>
    </w:lvl>
    <w:lvl w:ilvl="8" w:tplc="2400AE86">
      <w:start w:val="1"/>
      <w:numFmt w:val="bullet"/>
      <w:suff w:val="tab"/>
      <w:lvlText w:val=""/>
      <w:lvlJc w:val="left"/>
      <w:pPr>
        <w:ind w:hanging="360" w:left="6480"/>
      </w:pPr>
      <w:rPr>
        <w:rFonts w:ascii="Wingdings" w:hAnsi="Wingdings"/>
      </w:rPr>
    </w:lvl>
  </w:abstractNum>
  <w:abstractNum w:abstractNumId="19">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0">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1A835A50">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5D3B6081"/>
    <w:multiLevelType w:val="multilevel"/>
    <w:lvl w:ilvl="0">
      <w:start w:val="1"/>
      <w:numFmt w:val="upperLetter"/>
      <w:suff w:val="tab"/>
      <w:lvlText w:val="%1)"/>
      <w:lvlJc w:val="left"/>
      <w:pPr>
        <w:ind w:hanging="360" w:left="79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26">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75EE7E4C"/>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4">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9"/>
  </w:num>
  <w:num w:numId="3">
    <w:abstractNumId w:val="14"/>
  </w:num>
  <w:num w:numId="4">
    <w:abstractNumId w:val="27"/>
  </w:num>
  <w:num w:numId="5">
    <w:abstractNumId w:val="31"/>
  </w:num>
  <w:num w:numId="6">
    <w:abstractNumId w:val="7"/>
  </w:num>
  <w:num w:numId="7">
    <w:abstractNumId w:val="24"/>
  </w:num>
  <w:num w:numId="8">
    <w:abstractNumId w:val="3"/>
  </w:num>
  <w:num w:numId="9">
    <w:abstractNumId w:val="6"/>
  </w:num>
  <w:num w:numId="10">
    <w:abstractNumId w:val="8"/>
  </w:num>
  <w:num w:numId="11">
    <w:abstractNumId w:val="20"/>
  </w:num>
  <w:num w:numId="12">
    <w:abstractNumId w:val="21"/>
  </w:num>
  <w:num w:numId="13">
    <w:abstractNumId w:val="36"/>
  </w:num>
  <w:num w:numId="14">
    <w:abstractNumId w:val="30"/>
  </w:num>
  <w:num w:numId="15">
    <w:abstractNumId w:val="29"/>
  </w:num>
  <w:num w:numId="16">
    <w:abstractNumId w:val="16"/>
  </w:num>
  <w:num w:numId="17">
    <w:abstractNumId w:val="19"/>
  </w:num>
  <w:num w:numId="18">
    <w:abstractNumId w:val="33"/>
  </w:num>
  <w:num w:numId="19">
    <w:abstractNumId w:val="11"/>
  </w:num>
  <w:num w:numId="20">
    <w:abstractNumId w:val="4"/>
  </w:num>
  <w:num w:numId="21">
    <w:abstractNumId w:val="1"/>
  </w:num>
  <w:num w:numId="22">
    <w:abstractNumId w:val="23"/>
  </w:num>
  <w:num w:numId="23">
    <w:abstractNumId w:val="34"/>
  </w:num>
  <w:num w:numId="24">
    <w:abstractNumId w:val="28"/>
  </w:num>
  <w:num w:numId="25">
    <w:abstractNumId w:val="12"/>
  </w:num>
  <w:num w:numId="26">
    <w:abstractNumId w:val="35"/>
  </w:num>
  <w:num w:numId="27">
    <w:abstractNumId w:val="2"/>
  </w:num>
  <w:num w:numId="28">
    <w:abstractNumId w:val="26"/>
  </w:num>
  <w:num w:numId="29">
    <w:abstractNumId w:val="5"/>
  </w:num>
  <w:num w:numId="30">
    <w:abstractNumId w:val="15"/>
  </w:num>
  <w:num w:numId="31">
    <w:abstractNumId w:val="0"/>
  </w:num>
  <w:num w:numId="32">
    <w:abstractNumId w:val="13"/>
  </w:num>
  <w:num w:numId="33">
    <w:abstractNumId w:val="17"/>
  </w:num>
  <w:num w:numId="34">
    <w:abstractNumId w:val="32"/>
  </w:num>
  <w:num w:numId="35">
    <w:abstractNumId w:val="10"/>
  </w:num>
  <w:num w:numId="36">
    <w:abstractNumId w:val="18"/>
  </w:num>
  <w:num w:numId="37">
    <w:abstractNumId w:val="25"/>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2012-12-12T16:55:00Z</dcterms:created>
  <cp:lastModifiedBy>Ethan Puglia</cp:lastModifiedBy>
  <cp:lastPrinted>2012-12-13T15:16:00Z</cp:lastPrinted>
  <dcterms:modified xsi:type="dcterms:W3CDTF">2019-03-28T17:33:08Z</dcterms:modified>
  <cp:revision>12</cp:revision>
  <dc:title>PROYECTO DE ORDENANZA VIOLENCIA FAMILIAR</dc:title>
</cp:coreProperties>
</file>