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2EF818A" Type="http://schemas.openxmlformats.org/officeDocument/2006/relationships/officeDocument" Target="/word/document.xml" /><Relationship Id="coreR52EF81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9438</w:t>
      </w: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Las necesidad de regular el servicio de recolección de residuos caracterizados como inertes, a través de contenedores abiertos, tipo volquetes, depositados en la vía pública, por empresas privadas; y</w:t>
      </w:r>
    </w:p>
    <w:p>
      <w:pPr>
        <w:spacing w:before="100" w:after="100" w:beforeAutospacing="1" w:afterAutospacing="1"/>
        <w:ind w:hanging="709" w:left="709"/>
        <w:jc w:val="both"/>
        <w:rPr>
          <w:rStyle w:val="C3"/>
          <w:rFonts w:ascii="Courier New" w:hAnsi="Courier New"/>
          <w:b w:val="1"/>
        </w:rPr>
      </w:pPr>
      <w:r>
        <w:rPr>
          <w:rStyle w:val="C3"/>
          <w:rFonts w:ascii="Courier New" w:hAnsi="Courier New"/>
        </w:rPr>
        <w:t xml:space="preserve"> </w:t>
      </w: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r>
        <w:rPr>
          <w:rStyle w:val="C3"/>
          <w:rFonts w:ascii="Courier New" w:hAnsi="Courier New"/>
        </w:rPr>
        <w:t xml:space="preserve"> </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la Ordenanza Nº 3091 resulta obsoleta para los tiempos actuales ante las nuevas políticas de clasificación de residuos y separación en origen;</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según Ordenanza Nº 7942, Código de Protección Ambiental de la ciudad de Alta Gracia, en sus artículos 112 y 113, establece que todos los residuos producidos en cantidad excesiva o los elementos excluidos del Servicio Público de recolección domiciliaria, deberán proceder a evacuarlos por medios particulares o por las vías de servicio que correspondan;</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el servicio de recolección de residuos caracterizados como inertes, mediante contenedores  (Arts. 129, 130 y 131 C.P.A.), por parte de empresas privadas, debe contar con pautas claras que mejoren la actividad e impongan un orden en la ciudad.</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menester concientizar a la población en general, a instituciones, a empresas privadas o industrias en particular, sobre la importancia que tiene la generación y disposición inicial de residuos inertes, debiendo ser esta última, en forma selectiva (con clasificación y separación a cargo del generador) colaborando con el cuidado del ambiente;</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los habitantes de nuestra ciudad deben conocer ciertamente qué elementos componen el conjunto de residuos sólidos inertes, por ejemplo: tierra, escombros, metales, hierros, chapas, alambres, clavos, maderas, etc., como así también los resultantes de poda, en cantidad excesiva;</w:t>
      </w:r>
    </w:p>
    <w:p>
      <w:pPr>
        <w:spacing w:beforeAutospacing="1" w:afterAutospacing="1"/>
        <w:ind w:left="709"/>
        <w:jc w:val="both"/>
        <w:rPr>
          <w:rStyle w:val="C3"/>
          <w:rFonts w:ascii="Courier New" w:hAnsi="Courier New"/>
        </w:rPr>
      </w:pPr>
    </w:p>
    <w:p>
      <w:pPr>
        <w:spacing w:beforeAutospacing="1" w:afterAutospacing="1"/>
        <w:ind w:left="709"/>
        <w:jc w:val="right"/>
        <w:rPr>
          <w:rStyle w:val="C3"/>
          <w:rFonts w:ascii="Courier New" w:hAnsi="Courier New"/>
        </w:rPr>
      </w:pPr>
      <w:r>
        <w:rPr>
          <w:rStyle w:val="C3"/>
          <w:rFonts w:ascii="Courier New" w:hAnsi="Courier New"/>
        </w:rPr>
        <w:t>...///</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...///2.-</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las empresas dedicadas a la actividad de recolección, transporte y disposición final de residuos sólidos urbanos considerados inertes, mediante contenedores abiertos tipo volquetes deberán cumplir con la normativa contenida en el Código de Protección Ambiental, además de las disposiciones establecidas en la presente;</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la Ordenanza Nº 7942 “Código de Protección Ambiental” en su artículo 2 declara de interés municipal las acciones y actividades destinadas a la preservación, conservación, defensa y mejoramiento de los ambientes urbanos y naturales y sus elementos constitutivos;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el Estado Municipal debe articular los medios técnicos que impidan la disposición de cualquier tipo de residuos en los contenedores y que garanticen la preservación del ambiente como también arbitrar los medios administrativos y legales que aseguren un mayor control del servicio de alquiler, retiro y disposición de contenedores;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evaluado el proyecto de ordenanza por el Concejo Constituido en Comisión se emiten distintos despachos, aprobándose por mayoría el despacho favorable en sesión del día 19 de diciembre de 2012. </w:t>
      </w: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ind w:hanging="426" w:left="426"/>
        <w:jc w:val="both"/>
        <w:rPr>
          <w:rStyle w:val="C3"/>
          <w:sz w:val="24"/>
        </w:rPr>
      </w:pPr>
    </w:p>
    <w:p>
      <w:pPr>
        <w:spacing w:beforeAutospacing="1" w:afterAutospacing="1"/>
        <w:ind w:hanging="426" w:left="426"/>
        <w:jc w:val="both"/>
      </w:pPr>
      <w:r>
        <w:rPr>
          <w:rStyle w:val="C3"/>
          <w:rFonts w:ascii="Courier New" w:hAnsi="Courier New"/>
          <w:b w:val="1"/>
          <w:u w:val="single"/>
        </w:rPr>
        <w:t>Art.1</w:t>
      </w:r>
      <w:r>
        <w:rPr>
          <w:rStyle w:val="C3"/>
          <w:rFonts w:ascii="Courier New" w:hAnsi="Courier New"/>
          <w:b w:val="1"/>
        </w:rPr>
        <w:t>:</w:t>
      </w:r>
      <w:r>
        <w:rPr>
          <w:rStyle w:val="C3"/>
          <w:b w:val="1"/>
        </w:rPr>
        <w:t xml:space="preserve"> </w:t>
      </w:r>
      <w:r>
        <w:rPr>
          <w:rStyle w:val="C3"/>
          <w:rFonts w:ascii="Courier New" w:hAnsi="Courier New"/>
          <w:b w:val="1"/>
        </w:rPr>
        <w:t xml:space="preserve">DERÓGASE </w:t>
      </w:r>
      <w:r>
        <w:rPr>
          <w:rStyle w:val="C3"/>
          <w:rFonts w:ascii="Courier New" w:hAnsi="Courier New"/>
        </w:rPr>
        <w:t>la Ordenanza Nº 3091 y sus modificatorias.</w:t>
      </w:r>
      <w: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u w:val="single"/>
        </w:rPr>
      </w:pPr>
      <w:r>
        <w:rPr>
          <w:rStyle w:val="C3"/>
          <w:b w:val="1"/>
          <w:sz w:val="24"/>
          <w:u w:val="single"/>
        </w:rPr>
        <w:t>Art.2</w:t>
      </w:r>
      <w:r>
        <w:rPr>
          <w:rStyle w:val="C3"/>
          <w:b w:val="1"/>
          <w:sz w:val="24"/>
        </w:rPr>
        <w:t>:</w:t>
      </w:r>
      <w:r>
        <w:rPr>
          <w:rStyle w:val="C3"/>
          <w:sz w:val="24"/>
        </w:rPr>
        <w:t xml:space="preserve"> </w:t>
      </w:r>
      <w:r>
        <w:rPr>
          <w:rStyle w:val="C3"/>
          <w:b w:val="1"/>
          <w:sz w:val="24"/>
        </w:rPr>
        <w:t>REGÚ</w:t>
      </w:r>
      <w:r>
        <w:rPr>
          <w:rStyle w:val="C3"/>
          <w:b w:val="1"/>
          <w:sz w:val="24"/>
        </w:rPr>
        <w:t>LASE</w:t>
      </w:r>
      <w:r>
        <w:rPr>
          <w:rStyle w:val="C3"/>
          <w:sz w:val="24"/>
        </w:rPr>
        <w:t xml:space="preserve"> el Servicio de Recolección de Residuos Sólidos Urbanos caracterizados como Inertes, exceptuados del Servicio Público, mediante Contenedores Abiertos tipos Volquetes, en alquiler y retiro por Empresas Privadas.</w:t>
      </w:r>
      <w:r>
        <w:rPr>
          <w:rStyle w:val="C3"/>
          <w:b w:val="1"/>
          <w:u w:val="single"/>
        </w:rPr>
        <w:t xml:space="preserve"> </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b w:val="1"/>
        </w:rPr>
        <w:t>:</w:t>
      </w:r>
      <w:r>
        <w:rPr>
          <w:rStyle w:val="C3"/>
          <w:rFonts w:ascii="Courier New" w:hAnsi="Courier New"/>
        </w:rPr>
        <w:t xml:space="preserve"> </w:t>
      </w:r>
      <w:r>
        <w:rPr>
          <w:rStyle w:val="C3"/>
          <w:rFonts w:ascii="Courier New" w:hAnsi="Courier New"/>
          <w:b w:val="1"/>
        </w:rPr>
        <w:t>CONSIDÉRANSE</w:t>
      </w:r>
      <w:r>
        <w:rPr>
          <w:rStyle w:val="C3"/>
          <w:rFonts w:ascii="Courier New" w:hAnsi="Courier New"/>
        </w:rPr>
        <w:t xml:space="preserve"> residuos caracterizados como inertes, los siguientes:</w:t>
      </w:r>
    </w:p>
    <w:p>
      <w:pPr>
        <w:numPr>
          <w:ilvl w:val="0"/>
          <w:numId w:val="1"/>
        </w:numPr>
        <w:spacing w:beforeAutospacing="1" w:afterAutospacing="1"/>
        <w:jc w:val="both"/>
        <w:rPr>
          <w:rStyle w:val="C3"/>
          <w:rFonts w:ascii="Courier New" w:hAnsi="Courier New"/>
        </w:rPr>
      </w:pPr>
      <w:r>
        <w:rPr>
          <w:rStyle w:val="C3"/>
          <w:rFonts w:ascii="Courier New" w:hAnsi="Courier New"/>
        </w:rPr>
        <w:t>Tierra, escombros, metales, hierros, chapas, alambres, clavos, maderas, etc. procedentes de trabajos de construcción, demoliciones, excavaciones, de obras en general.</w:t>
      </w:r>
    </w:p>
    <w:p>
      <w:pPr>
        <w:numPr>
          <w:ilvl w:val="0"/>
          <w:numId w:val="1"/>
        </w:numPr>
        <w:spacing w:beforeAutospacing="1" w:afterAutospacing="1"/>
        <w:jc w:val="both"/>
        <w:rPr>
          <w:rStyle w:val="C3"/>
          <w:rFonts w:ascii="Courier New" w:hAnsi="Courier New"/>
        </w:rPr>
      </w:pPr>
      <w:r>
        <w:rPr>
          <w:rStyle w:val="C3"/>
          <w:rFonts w:ascii="Courier New" w:hAnsi="Courier New"/>
        </w:rPr>
        <w:t>Los producidos por la poda, que excedan en tamaño y volumen, que no están comprendidos en el Servicio Público de recolección domiciliaria, clasificados como a) chipeables: considerados verdes hasta quince (15) días de corte y b) no chipeables: considerados secos, pasados los quince (l5) días de corte, o con espinas que dificulten su manipulación por parte de los operadores de la máquina chipeadora.</w:t>
      </w:r>
    </w:p>
    <w:p>
      <w:pPr>
        <w:spacing w:beforeAutospacing="1" w:afterAutospacing="1"/>
        <w:ind w:left="795"/>
        <w:jc w:val="both"/>
        <w:rPr>
          <w:rStyle w:val="C3"/>
          <w:rFonts w:ascii="Courier New" w:hAnsi="Courier New"/>
        </w:rPr>
      </w:pPr>
      <w:r>
        <w:rPr>
          <w:rStyle w:val="C3"/>
          <w:rFonts w:ascii="Courier New" w:hAnsi="Courier New"/>
        </w:rPr>
        <w:t>Queda expresamente prohibido arrojar en un mismo contenedor los residuos descriptos en los puntos 1) y 2) del presente artículo, debiendo ser agrupados separadamente.</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b w:val="1"/>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CONSIDÉRANSE</w:t>
      </w:r>
      <w:r>
        <w:rPr>
          <w:rStyle w:val="C3"/>
          <w:rFonts w:ascii="Courier New" w:hAnsi="Courier New"/>
        </w:rPr>
        <w:t xml:space="preserve"> contenedores abiertos, tipo volquetes a  </w:t>
      </w:r>
    </w:p>
    <w:p>
      <w:pPr>
        <w:pStyle w:val="P20"/>
        <w:spacing w:lineRule="auto" w:line="276"/>
        <w:ind w:hanging="426" w:left="426"/>
        <w:jc w:val="both"/>
        <w:rPr>
          <w:rStyle w:val="C3"/>
          <w:sz w:val="24"/>
        </w:rPr>
      </w:pPr>
      <w:r>
        <w:rPr>
          <w:rStyle w:val="C3"/>
          <w:b w:val="1"/>
          <w:sz w:val="24"/>
        </w:rPr>
        <w:t xml:space="preserve">  </w:t>
      </w:r>
      <w:r>
        <w:rPr>
          <w:rStyle w:val="C3"/>
          <w:b w:val="1"/>
          <w:sz w:val="24"/>
        </w:rPr>
        <w:t xml:space="preserve"> </w:t>
      </w:r>
      <w:r>
        <w:rPr>
          <w:rStyle w:val="C3"/>
          <w:sz w:val="24"/>
        </w:rPr>
        <w:t>recipientes metálicos grandes y</w:t>
      </w:r>
      <w:r>
        <w:rPr>
          <w:rStyle w:val="C3"/>
          <w:b w:val="1"/>
          <w:sz w:val="24"/>
        </w:rPr>
        <w:t xml:space="preserve"> </w:t>
      </w:r>
      <w:r>
        <w:rPr>
          <w:rStyle w:val="C3"/>
          <w:sz w:val="24"/>
        </w:rPr>
        <w:t>recuperables, de tipos y</w:t>
      </w:r>
    </w:p>
    <w:p>
      <w:pPr>
        <w:pStyle w:val="P20"/>
        <w:spacing w:lineRule="auto" w:line="276"/>
        <w:ind w:hanging="426" w:left="426"/>
        <w:jc w:val="both"/>
        <w:rPr>
          <w:rStyle w:val="C3"/>
          <w:sz w:val="24"/>
        </w:rPr>
      </w:pPr>
      <w:r>
        <w:rPr>
          <w:rStyle w:val="C3"/>
          <w:sz w:val="24"/>
        </w:rPr>
        <w:t xml:space="preserve">  </w:t>
      </w:r>
      <w:r>
        <w:rPr>
          <w:rStyle w:val="C3"/>
          <w:b w:val="1"/>
          <w:sz w:val="24"/>
        </w:rPr>
        <w:t xml:space="preserve"> </w:t>
      </w:r>
      <w:r>
        <w:rPr>
          <w:rStyle w:val="C3"/>
          <w:sz w:val="24"/>
        </w:rPr>
        <w:t>dimensiones normalizados y con dispositivos para facilitar su manejo de carga y descarga mecánica, sobre vehículos de transporte especiales que deberán cumplir con las siguientes características:</w:t>
      </w:r>
    </w:p>
    <w:p>
      <w:pPr>
        <w:pStyle w:val="P20"/>
        <w:numPr>
          <w:ilvl w:val="0"/>
          <w:numId w:val="2"/>
        </w:numPr>
        <w:spacing w:lineRule="auto" w:line="276"/>
        <w:jc w:val="both"/>
        <w:rPr>
          <w:rStyle w:val="C3"/>
          <w:sz w:val="24"/>
          <w:u w:val="single"/>
        </w:rPr>
      </w:pPr>
      <w:r>
        <w:rPr>
          <w:rStyle w:val="C3"/>
          <w:sz w:val="24"/>
        </w:rPr>
        <w:t>Podrán tener volúmenes útiles comprendidos entre medio metro cúbico (½ m3) y catorce metros cúbicos (14 m3).</w:t>
      </w:r>
    </w:p>
    <w:p>
      <w:pPr>
        <w:pStyle w:val="P20"/>
        <w:numPr>
          <w:ilvl w:val="0"/>
          <w:numId w:val="2"/>
        </w:numPr>
        <w:spacing w:lineRule="auto" w:line="276"/>
        <w:jc w:val="both"/>
        <w:rPr>
          <w:rStyle w:val="C3"/>
          <w:sz w:val="24"/>
          <w:u w:val="single"/>
        </w:rPr>
      </w:pPr>
      <w:r>
        <w:rPr>
          <w:rStyle w:val="C3"/>
          <w:sz w:val="24"/>
        </w:rPr>
        <w:t>Deberán estar confeccionados por materiales metálicos resistentes para que no sufran deformaciones en su manipulación y produzcan daños considerables.</w:t>
      </w:r>
    </w:p>
    <w:p>
      <w:pPr>
        <w:pStyle w:val="P20"/>
        <w:numPr>
          <w:ilvl w:val="0"/>
          <w:numId w:val="2"/>
        </w:numPr>
        <w:spacing w:lineRule="auto" w:line="276"/>
        <w:jc w:val="both"/>
        <w:rPr>
          <w:rStyle w:val="C3"/>
          <w:sz w:val="24"/>
          <w:u w:val="single"/>
        </w:rPr>
      </w:pPr>
      <w:r>
        <w:rPr>
          <w:rStyle w:val="C3"/>
          <w:sz w:val="24"/>
        </w:rPr>
        <w:t xml:space="preserve">Deberán estar pintados en forma impecable y permanente con elementos reflectantes que destaquen su visibilidad, consistiendo en bandas rojas y blancas de doce centímetros (12 cm) de ancho por doce centímetros (12 cm) de alto mínimo, en oblicuo, situadas en los cuatro lados del contenedor, siendo responsabilidad de la empresa mantener en perfectas condiciones  de visibilidad y reflexión la señalización de sus lados.</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...///4.-</w:t>
      </w:r>
    </w:p>
    <w:p>
      <w:pPr>
        <w:pStyle w:val="P20"/>
        <w:numPr>
          <w:ilvl w:val="0"/>
          <w:numId w:val="2"/>
        </w:numPr>
        <w:spacing w:lineRule="auto" w:line="276"/>
        <w:jc w:val="both"/>
        <w:rPr>
          <w:rStyle w:val="C3"/>
          <w:sz w:val="24"/>
          <w:u w:val="single"/>
        </w:rPr>
      </w:pPr>
      <w:r>
        <w:rPr>
          <w:rStyle w:val="C3"/>
          <w:sz w:val="24"/>
        </w:rPr>
        <w:t>Deberán contar con una inscripción de su razón social, número de habilitación (Legajo), domicilio y teléfonos de contacto.</w:t>
      </w:r>
    </w:p>
    <w:p>
      <w:pPr>
        <w:pStyle w:val="P20"/>
        <w:spacing w:lineRule="auto" w:line="276"/>
        <w:jc w:val="both"/>
        <w:rPr>
          <w:rStyle w:val="C3"/>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5</w:t>
      </w:r>
      <w:r>
        <w:rPr>
          <w:rStyle w:val="C3"/>
          <w:b w:val="1"/>
          <w:sz w:val="24"/>
        </w:rPr>
        <w:t>:</w:t>
      </w:r>
      <w:r>
        <w:rPr>
          <w:rStyle w:val="C3"/>
          <w:sz w:val="24"/>
        </w:rPr>
        <w:t xml:space="preserve"> </w:t>
      </w:r>
      <w:r>
        <w:rPr>
          <w:rStyle w:val="C3"/>
          <w:b w:val="1"/>
          <w:sz w:val="24"/>
        </w:rPr>
        <w:t>DISPÓNE</w:t>
      </w:r>
      <w:r>
        <w:rPr>
          <w:rStyle w:val="C3"/>
          <w:b w:val="1"/>
          <w:sz w:val="24"/>
        </w:rPr>
        <w:t>N</w:t>
      </w:r>
      <w:r>
        <w:rPr>
          <w:rStyle w:val="C3"/>
          <w:b w:val="1"/>
          <w:sz w:val="24"/>
        </w:rPr>
        <w:t>SE</w:t>
      </w:r>
      <w:r>
        <w:rPr>
          <w:rStyle w:val="C3"/>
          <w:sz w:val="24"/>
        </w:rPr>
        <w:t xml:space="preserve"> los siguientes requisitos para el funcionamiento de las Empresas que tienen como actividad el alquiler y retiro de contenedores:</w:t>
      </w:r>
    </w:p>
    <w:p>
      <w:pPr>
        <w:pStyle w:val="P20"/>
        <w:numPr>
          <w:ilvl w:val="0"/>
          <w:numId w:val="3"/>
        </w:numPr>
        <w:spacing w:lineRule="auto" w:line="276"/>
        <w:jc w:val="both"/>
        <w:rPr>
          <w:rStyle w:val="C3"/>
          <w:sz w:val="24"/>
        </w:rPr>
      </w:pPr>
      <w:r>
        <w:rPr>
          <w:rStyle w:val="C3"/>
          <w:sz w:val="24"/>
        </w:rPr>
        <w:t>Pedido de autorización para desarrollar dicha actividad a la Secretaría de Obras y Servicios Públicos.</w:t>
      </w:r>
    </w:p>
    <w:p>
      <w:pPr>
        <w:pStyle w:val="P20"/>
        <w:numPr>
          <w:ilvl w:val="0"/>
          <w:numId w:val="3"/>
        </w:numPr>
        <w:spacing w:lineRule="auto" w:line="276"/>
        <w:jc w:val="both"/>
        <w:rPr>
          <w:rStyle w:val="C3"/>
          <w:sz w:val="24"/>
        </w:rPr>
      </w:pPr>
      <w:r>
        <w:rPr>
          <w:rStyle w:val="C3"/>
          <w:sz w:val="24"/>
        </w:rPr>
        <w:t>Habilitación comercial efectuada en la Dirección de Ingresos Públicos.</w:t>
      </w:r>
    </w:p>
    <w:p>
      <w:pPr>
        <w:pStyle w:val="P20"/>
        <w:numPr>
          <w:ilvl w:val="0"/>
          <w:numId w:val="3"/>
        </w:numPr>
        <w:spacing w:lineRule="auto" w:line="276"/>
        <w:jc w:val="both"/>
        <w:rPr>
          <w:rStyle w:val="C3"/>
          <w:sz w:val="24"/>
        </w:rPr>
      </w:pPr>
      <w:r>
        <w:rPr>
          <w:rStyle w:val="C3"/>
          <w:sz w:val="24"/>
        </w:rPr>
        <w:t>Inspección técnica de los vehículos levanta-contenedores por la Secretaría de Obras y Servicios Públicos.</w:t>
      </w:r>
    </w:p>
    <w:p>
      <w:pPr>
        <w:pStyle w:val="P20"/>
        <w:numPr>
          <w:ilvl w:val="0"/>
          <w:numId w:val="3"/>
        </w:numPr>
        <w:spacing w:lineRule="auto" w:line="276"/>
        <w:jc w:val="both"/>
        <w:rPr>
          <w:rStyle w:val="C3"/>
          <w:sz w:val="24"/>
        </w:rPr>
      </w:pPr>
      <w:r>
        <w:rPr>
          <w:rStyle w:val="C3"/>
          <w:sz w:val="24"/>
        </w:rPr>
        <w:t>Aprobación de los contenedores a utilizar por la Secretaría mencionada.</w:t>
      </w:r>
    </w:p>
    <w:p>
      <w:pPr>
        <w:pStyle w:val="P20"/>
        <w:numPr>
          <w:ilvl w:val="0"/>
          <w:numId w:val="3"/>
        </w:numPr>
        <w:spacing w:lineRule="auto" w:line="276"/>
        <w:jc w:val="both"/>
        <w:rPr>
          <w:rStyle w:val="C3"/>
          <w:sz w:val="24"/>
        </w:rPr>
      </w:pPr>
      <w:r>
        <w:rPr>
          <w:rStyle w:val="C3"/>
          <w:sz w:val="24"/>
        </w:rPr>
        <w:t>Abonar el arancel prefijado por Ordenanza Tarifaria vigente, según los días de ocupación de la vía pública, debiendo actualizarse si fuese necesario, luego de haber sido contratado el servicio, en dependencias de Obras Privadas de la Municipalidad de Alta Gracia.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6</w:t>
      </w:r>
      <w:r>
        <w:rPr>
          <w:rStyle w:val="C3"/>
          <w:b w:val="1"/>
          <w:sz w:val="24"/>
        </w:rPr>
        <w:t xml:space="preserve">: </w:t>
      </w:r>
      <w:r>
        <w:rPr>
          <w:rStyle w:val="C3"/>
          <w:b w:val="1"/>
          <w:sz w:val="24"/>
        </w:rPr>
        <w:t>PROCÉDASE</w:t>
      </w:r>
      <w:r>
        <w:rPr>
          <w:rStyle w:val="C3"/>
          <w:sz w:val="24"/>
        </w:rPr>
        <w:t xml:space="preserve"> desde el momento de la contratación de contenedores para la ubicación, traslado y disposición final, de la siguiente manera:</w:t>
      </w:r>
    </w:p>
    <w:p>
      <w:pPr>
        <w:pStyle w:val="P20"/>
        <w:numPr>
          <w:ilvl w:val="0"/>
          <w:numId w:val="4"/>
        </w:numPr>
        <w:spacing w:lineRule="auto" w:line="276"/>
        <w:jc w:val="both"/>
        <w:rPr>
          <w:rStyle w:val="C3"/>
          <w:sz w:val="24"/>
        </w:rPr>
      </w:pPr>
      <w:r>
        <w:rPr>
          <w:rStyle w:val="C3"/>
          <w:i w:val="1"/>
          <w:sz w:val="24"/>
        </w:rPr>
        <w:t>Horario</w:t>
      </w:r>
      <w:r>
        <w:rPr>
          <w:rStyle w:val="C3"/>
          <w:sz w:val="24"/>
        </w:rPr>
        <w:t>: se deberá respetar como norma general, los horarios de descanso y los de mayor actividad de la zona a fin de no entorpecer la normal circulación;</w:t>
      </w:r>
    </w:p>
    <w:p>
      <w:pPr>
        <w:pStyle w:val="P20"/>
        <w:numPr>
          <w:ilvl w:val="0"/>
          <w:numId w:val="4"/>
        </w:numPr>
        <w:spacing w:lineRule="auto" w:line="276"/>
        <w:jc w:val="both"/>
        <w:rPr>
          <w:rStyle w:val="C3"/>
          <w:sz w:val="24"/>
        </w:rPr>
      </w:pPr>
      <w:r>
        <w:rPr>
          <w:rStyle w:val="C3"/>
          <w:i w:val="1"/>
          <w:sz w:val="24"/>
        </w:rPr>
        <w:t>Ubicación</w:t>
      </w:r>
      <w:r>
        <w:rPr>
          <w:rStyle w:val="C3"/>
          <w:sz w:val="24"/>
        </w:rPr>
        <w:t xml:space="preserve">: se deberán respetar el normal tránsito vehicular, las paradas de ómnibus, el ingreso a cocheras, ochavas, pasos peatonales, vados, reservas de estacionamiento, paradas de emergencia y las normas de tránsito vigentes. En caso de ser necesario su colocación en lugares no permitidos, se deberá solicitar  autorización por escrito fundamentando las </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...///5.-</w:t>
      </w:r>
    </w:p>
    <w:p>
      <w:pPr>
        <w:pStyle w:val="P20"/>
        <w:spacing w:lineRule="auto" w:line="276"/>
        <w:ind w:left="435"/>
        <w:jc w:val="both"/>
        <w:rPr>
          <w:rStyle w:val="C3"/>
          <w:sz w:val="24"/>
        </w:rPr>
      </w:pPr>
      <w:r>
        <w:rPr>
          <w:rStyle w:val="C3"/>
          <w:sz w:val="24"/>
        </w:rPr>
        <w:t xml:space="preserve">  razones del pedido. Podrán ubicarse en veredas con más</w:t>
      </w:r>
    </w:p>
    <w:p>
      <w:pPr>
        <w:pStyle w:val="P20"/>
        <w:spacing w:lineRule="auto" w:line="276"/>
        <w:ind w:left="435"/>
        <w:jc w:val="both"/>
        <w:rPr>
          <w:rStyle w:val="C3"/>
          <w:sz w:val="24"/>
        </w:rPr>
      </w:pPr>
      <w:r>
        <w:rPr>
          <w:rStyle w:val="C3"/>
          <w:sz w:val="24"/>
        </w:rPr>
        <w:t xml:space="preserve">  de tres metros (3 m)  de ancho, en  calzadas de  forma</w:t>
      </w:r>
    </w:p>
    <w:p>
      <w:pPr>
        <w:pStyle w:val="P20"/>
        <w:spacing w:lineRule="auto" w:line="276"/>
        <w:ind w:left="435"/>
        <w:jc w:val="both"/>
        <w:rPr>
          <w:rStyle w:val="C3"/>
          <w:sz w:val="24"/>
        </w:rPr>
      </w:pPr>
      <w:r>
        <w:rPr>
          <w:rStyle w:val="C3"/>
          <w:sz w:val="24"/>
        </w:rPr>
        <w:t xml:space="preserve">  tal que su lado más largo esté paralelo a la vereda, a</w:t>
      </w:r>
    </w:p>
    <w:p>
      <w:pPr>
        <w:pStyle w:val="P20"/>
        <w:spacing w:lineRule="auto" w:line="276"/>
        <w:ind w:left="709"/>
        <w:jc w:val="both"/>
        <w:rPr>
          <w:rStyle w:val="C3"/>
          <w:sz w:val="24"/>
        </w:rPr>
      </w:pPr>
      <w:r>
        <w:rPr>
          <w:rStyle w:val="C3"/>
          <w:sz w:val="24"/>
        </w:rPr>
        <w:t xml:space="preserve">unos veinte centímetros (20 cm)  del cordón, de  modo     tal que no  impida la salida de desagües;</w:t>
      </w:r>
    </w:p>
    <w:p>
      <w:pPr>
        <w:pStyle w:val="P20"/>
        <w:numPr>
          <w:ilvl w:val="0"/>
          <w:numId w:val="4"/>
        </w:numPr>
        <w:spacing w:lineRule="auto" w:line="276"/>
        <w:jc w:val="both"/>
        <w:rPr>
          <w:rStyle w:val="C3"/>
          <w:sz w:val="24"/>
        </w:rPr>
      </w:pPr>
      <w:r>
        <w:rPr>
          <w:rStyle w:val="C3"/>
          <w:i w:val="1"/>
          <w:sz w:val="24"/>
        </w:rPr>
        <w:t>Permanencia</w:t>
      </w:r>
      <w:r>
        <w:rPr>
          <w:rStyle w:val="C3"/>
          <w:sz w:val="24"/>
        </w:rPr>
        <w:t>: podrán establecerse por diez (10) días como máximo en un mismo lugar, siendo obligatorio en el término de cuarenta y ocho horas (48hs) retirar el contenedor cargado en su totalidad;</w:t>
      </w:r>
    </w:p>
    <w:p>
      <w:pPr>
        <w:pStyle w:val="P20"/>
        <w:numPr>
          <w:ilvl w:val="0"/>
          <w:numId w:val="4"/>
        </w:numPr>
        <w:spacing w:lineRule="auto" w:line="276"/>
        <w:jc w:val="both"/>
        <w:rPr>
          <w:rStyle w:val="C3"/>
          <w:sz w:val="24"/>
        </w:rPr>
      </w:pPr>
      <w:r>
        <w:rPr>
          <w:rStyle w:val="C3"/>
          <w:i w:val="1"/>
          <w:sz w:val="24"/>
        </w:rPr>
        <w:t>Levantamiento y traslado</w:t>
      </w:r>
      <w:r>
        <w:rPr>
          <w:rStyle w:val="C3"/>
          <w:sz w:val="24"/>
        </w:rPr>
        <w:t>: una vez producido el levantamiento al vehículo de traslado, el operador deberá proceder a cubrir el contenedor con lona o cubierta resistente, a efectos de evitar la diseminación de polvillo o restos del contenido, ajustándola de manera tal que impida el movimiento y realice un cerramiento lo más hermético posible, impidiendo la contaminación ambiental y la sanción pertinente;</w:t>
      </w:r>
    </w:p>
    <w:p>
      <w:pPr>
        <w:pStyle w:val="P20"/>
        <w:numPr>
          <w:ilvl w:val="0"/>
          <w:numId w:val="4"/>
        </w:numPr>
        <w:spacing w:lineRule="auto" w:line="276"/>
        <w:jc w:val="both"/>
        <w:rPr>
          <w:rStyle w:val="C3"/>
          <w:sz w:val="24"/>
        </w:rPr>
      </w:pPr>
      <w:r>
        <w:rPr>
          <w:rStyle w:val="C3"/>
          <w:i w:val="1"/>
          <w:sz w:val="24"/>
        </w:rPr>
        <w:t>Disposición Final</w:t>
      </w:r>
      <w:r>
        <w:rPr>
          <w:rStyle w:val="C3"/>
          <w:sz w:val="24"/>
        </w:rPr>
        <w:t>: para descargar el contenedor, la Secretaría de Obras y Servicios Públicos, la Dirección de Ambiente y Espacios Verdes, o quien resulte en lo sucesivo la autoridad de aplicación, según sea el tipo de residuos inertes, determinará el destino final de los mismos, quedando prohibido descargarlos en terrenos particulares, salvo que mediare autorización por escrito del titular dominial del inmueble de que se trate.</w:t>
      </w:r>
    </w:p>
    <w:p>
      <w:pPr>
        <w:pStyle w:val="P20"/>
        <w:spacing w:lineRule="auto" w:line="276"/>
        <w:jc w:val="both"/>
        <w:rPr>
          <w:rStyle w:val="C3"/>
          <w:sz w:val="24"/>
        </w:rPr>
      </w:pPr>
    </w:p>
    <w:p>
      <w:pPr>
        <w:pStyle w:val="P20"/>
        <w:spacing w:lineRule="auto" w:line="276"/>
        <w:jc w:val="both"/>
        <w:rPr>
          <w:rStyle w:val="C3"/>
          <w:sz w:val="24"/>
        </w:rPr>
      </w:pPr>
      <w:r>
        <w:rPr>
          <w:rStyle w:val="C3"/>
          <w:b w:val="1"/>
          <w:sz w:val="24"/>
          <w:u w:val="single"/>
        </w:rPr>
        <w:t>Art.7</w:t>
      </w:r>
      <w:r>
        <w:rPr>
          <w:rStyle w:val="C3"/>
          <w:sz w:val="24"/>
        </w:rPr>
        <w:t xml:space="preserve">: </w:t>
      </w:r>
      <w:r>
        <w:rPr>
          <w:rStyle w:val="C3"/>
          <w:b w:val="1"/>
          <w:sz w:val="24"/>
        </w:rPr>
        <w:t>RESPONSABILÍCESE</w:t>
      </w:r>
      <w:r>
        <w:rPr>
          <w:rStyle w:val="C3"/>
          <w:sz w:val="24"/>
        </w:rPr>
        <w:t>: Al titular de la Empresa de:</w:t>
      </w:r>
    </w:p>
    <w:p>
      <w:pPr>
        <w:pStyle w:val="P20"/>
        <w:spacing w:lineRule="auto" w:line="276"/>
        <w:jc w:val="both"/>
        <w:rPr>
          <w:rStyle w:val="C3"/>
          <w:sz w:val="24"/>
        </w:rPr>
      </w:pPr>
    </w:p>
    <w:p>
      <w:pPr>
        <w:pStyle w:val="P20"/>
        <w:numPr>
          <w:ilvl w:val="0"/>
          <w:numId w:val="5"/>
        </w:numPr>
        <w:spacing w:lineRule="auto" w:line="276"/>
        <w:jc w:val="both"/>
        <w:rPr>
          <w:rStyle w:val="C3"/>
          <w:sz w:val="24"/>
        </w:rPr>
      </w:pPr>
      <w:r>
        <w:rPr>
          <w:rStyle w:val="C3"/>
          <w:sz w:val="24"/>
        </w:rPr>
        <w:t>Los daños que se causen mediante y/o durante la ubicación, traslado y disposición final de los contenedores, a terceros o a cualquier elemento de la vía pública.</w:t>
      </w: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...///6.-</w:t>
      </w:r>
    </w:p>
    <w:p>
      <w:pPr>
        <w:pStyle w:val="P20"/>
        <w:numPr>
          <w:ilvl w:val="0"/>
          <w:numId w:val="5"/>
        </w:numPr>
        <w:spacing w:lineRule="auto" w:line="276"/>
        <w:jc w:val="both"/>
        <w:rPr>
          <w:rStyle w:val="C3"/>
          <w:sz w:val="24"/>
        </w:rPr>
      </w:pPr>
      <w:r>
        <w:rPr>
          <w:rStyle w:val="C3"/>
          <w:sz w:val="24"/>
        </w:rPr>
        <w:t>En garantía del cumplimiento de estas responsabilidades, deberá formalizar una póliza de seguro sin limitaciones de riesgo, que no podrá ser rescindida sin el consentimiento de la Municipalidad y cuya copia deberá permanecer en el Expediente de habilitación, renovándose su vigencia si fuese necesario.</w:t>
      </w:r>
    </w:p>
    <w:p>
      <w:pPr>
        <w:pStyle w:val="P20"/>
        <w:numPr>
          <w:ilvl w:val="0"/>
          <w:numId w:val="5"/>
        </w:numPr>
        <w:spacing w:lineRule="auto" w:line="276"/>
        <w:jc w:val="both"/>
        <w:rPr>
          <w:rStyle w:val="C3"/>
          <w:sz w:val="24"/>
        </w:rPr>
      </w:pPr>
      <w:r>
        <w:rPr>
          <w:rStyle w:val="C3"/>
          <w:sz w:val="24"/>
        </w:rPr>
        <w:t>Exhibir los aranceles correspondientes abonados, a la autoridad competente que lo requiera, siendo pasible de multa de no haber sido cumplimentado.</w:t>
      </w:r>
    </w:p>
    <w:p>
      <w:pPr>
        <w:pStyle w:val="P20"/>
        <w:spacing w:lineRule="auto" w:line="276"/>
        <w:jc w:val="both"/>
        <w:rPr>
          <w:rStyle w:val="C3"/>
          <w:sz w:val="24"/>
        </w:rPr>
      </w:pPr>
    </w:p>
    <w:p>
      <w:pPr>
        <w:pStyle w:val="P20"/>
        <w:spacing w:lineRule="auto" w:line="276"/>
        <w:ind w:left="1095"/>
        <w:jc w:val="both"/>
        <w:rPr>
          <w:rStyle w:val="C3"/>
          <w:sz w:val="24"/>
        </w:rPr>
      </w:pPr>
      <w:r>
        <w:rPr>
          <w:rStyle w:val="C3"/>
          <w:sz w:val="24"/>
        </w:rPr>
        <w:t>Solidariamente al titular de la empresa y al generador, entendiéndose por tal a la persona física o jurídica que produce residuos caracterizados como inertes de:</w:t>
      </w:r>
    </w:p>
    <w:p>
      <w:pPr>
        <w:pStyle w:val="P20"/>
        <w:spacing w:lineRule="auto" w:line="276"/>
        <w:ind w:left="1134"/>
        <w:jc w:val="both"/>
        <w:rPr>
          <w:rStyle w:val="C3"/>
          <w:sz w:val="24"/>
        </w:rPr>
      </w:pPr>
      <w:r>
        <w:rPr>
          <w:rStyle w:val="C3"/>
          <w:sz w:val="24"/>
        </w:rPr>
        <w:t xml:space="preserve">4)Separar los residuos en la forma establecida en los   Art. 2 y 3 de la presente  normativa, de lo contrario será pasible de multa aplicada por la autoridad competente.</w:t>
      </w:r>
    </w:p>
    <w:p>
      <w:pPr>
        <w:pStyle w:val="P20"/>
        <w:spacing w:lineRule="auto" w:line="276"/>
        <w:jc w:val="both"/>
        <w:rPr>
          <w:rStyle w:val="C3"/>
          <w:sz w:val="24"/>
        </w:rPr>
      </w:pPr>
      <w:r>
        <w:rPr>
          <w:rStyle w:val="C3"/>
          <w:sz w:val="24"/>
        </w:rPr>
        <w:t xml:space="preserve">      </w:t>
      </w:r>
    </w:p>
    <w:p>
      <w:pPr>
        <w:pStyle w:val="P20"/>
        <w:spacing w:lineRule="auto" w:line="276"/>
        <w:ind w:hanging="426" w:left="426"/>
        <w:jc w:val="both"/>
        <w:rPr>
          <w:rStyle w:val="C3"/>
          <w:sz w:val="24"/>
        </w:rPr>
      </w:pPr>
      <w:r>
        <w:rPr>
          <w:rStyle w:val="C3"/>
          <w:b w:val="1"/>
          <w:sz w:val="24"/>
          <w:u w:val="single"/>
        </w:rPr>
        <w:t>Art.</w:t>
      </w:r>
      <w:r>
        <w:rPr>
          <w:rStyle w:val="C3"/>
          <w:b w:val="1"/>
          <w:sz w:val="24"/>
          <w:u w:val="single"/>
        </w:rPr>
        <w:t>8</w:t>
      </w:r>
      <w:r>
        <w:rPr>
          <w:rStyle w:val="C3"/>
          <w:b w:val="1"/>
          <w:sz w:val="24"/>
        </w:rPr>
        <w:t>:</w:t>
      </w:r>
      <w:r>
        <w:rPr>
          <w:rStyle w:val="C3"/>
          <w:b w:val="1"/>
          <w:sz w:val="24"/>
        </w:rPr>
        <w:t xml:space="preserve"> </w:t>
      </w:r>
      <w:r>
        <w:rPr>
          <w:rStyle w:val="C3"/>
          <w:b w:val="1"/>
          <w:sz w:val="24"/>
          <w:u w:val="single"/>
        </w:rPr>
        <w:t>SANCIONES</w:t>
      </w:r>
      <w:r>
        <w:rPr>
          <w:rStyle w:val="C3"/>
          <w:b w:val="1"/>
          <w:sz w:val="24"/>
        </w:rPr>
        <w:t>:</w:t>
      </w:r>
      <w:r>
        <w:rPr>
          <w:rStyle w:val="C3"/>
          <w:b w:val="1"/>
          <w:sz w:val="24"/>
        </w:rPr>
        <w:t xml:space="preserve"> </w:t>
      </w:r>
      <w:r>
        <w:rPr>
          <w:rStyle w:val="C3"/>
          <w:sz w:val="24"/>
        </w:rPr>
        <w:t xml:space="preserve">Sin perjuicio de las contenidas en el “Código de Faltas Municipal” Ordenanza Nº 7632, el Servicio de Recolección de Residuos Sólidos Urbanos Inertes, en Contenedores Abiertos Tipo Volquetes, de propiedad de Empresas Privadas que incumpliere las normativas Municipales referidas a horario, ubicación, permanencia, levantamiento y/o traslado de los mismos; será sancionado con multa MÍNIMA DE 500UF Y MÁXIMA DE 2000UF. Si la infracción consistiere en incumplir las normas referidas a </w:t>
      </w:r>
      <w:r>
        <w:rPr>
          <w:rStyle w:val="C3"/>
          <w:sz w:val="24"/>
          <w:u w:val="single"/>
        </w:rPr>
        <w:t>disposición final</w:t>
      </w:r>
      <w:r>
        <w:rPr>
          <w:rStyle w:val="C3"/>
          <w:sz w:val="24"/>
        </w:rPr>
        <w:t xml:space="preserve"> de descarga de los contenedores, la sanción será de MULTA MÍNIMA DE 1000 UF A MÁXIMA DE 5000 UF, y/o </w:t>
      </w:r>
      <w:r>
        <w:rPr>
          <w:rStyle w:val="C3"/>
          <w:sz w:val="24"/>
          <w:u w:val="single"/>
        </w:rPr>
        <w:t>inhabilitación temporal</w:t>
      </w:r>
      <w:r>
        <w:rPr>
          <w:rStyle w:val="C3"/>
          <w:sz w:val="24"/>
        </w:rPr>
        <w:t xml:space="preserve"> de hasta ciento veinte días (120) para el ejercicio de la actividad específica. La reincidencia, podrá volver la inhabilitación en definitiva.</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...///7.-</w:t>
      </w:r>
    </w:p>
    <w:p>
      <w:pPr>
        <w:pStyle w:val="P20"/>
        <w:spacing w:lineRule="auto" w:line="276"/>
        <w:ind w:hanging="426" w:left="426"/>
        <w:jc w:val="both"/>
        <w:rPr>
          <w:rStyle w:val="C3"/>
          <w:sz w:val="24"/>
        </w:rPr>
      </w:pPr>
      <w:r>
        <w:rPr>
          <w:rStyle w:val="C3"/>
          <w:b w:val="1"/>
          <w:sz w:val="24"/>
          <w:u w:val="single"/>
        </w:rPr>
        <w:t>Art.9</w:t>
      </w:r>
      <w:r>
        <w:rPr>
          <w:rStyle w:val="C3"/>
          <w:sz w:val="24"/>
        </w:rPr>
        <w:t xml:space="preserve">:El ejercicio de la actividad por parte del habilitado e inscripto para el Servicio de Recolección de Residuos Sólidos Urbanos Inertes, en Contenedores Abiertos tipos Volquetes, </w:t>
      </w:r>
      <w:r>
        <w:rPr>
          <w:rStyle w:val="C3"/>
          <w:sz w:val="24"/>
          <w:u w:val="single"/>
        </w:rPr>
        <w:t xml:space="preserve">que importe el incumplimiento de alguna y/o algunas de las exigencias contenidas en la presente ordenanza y expresadas en los artículos 4, 5 y 7 </w:t>
      </w:r>
      <w:r>
        <w:rPr>
          <w:rStyle w:val="C3"/>
          <w:b w:val="1"/>
          <w:sz w:val="24"/>
        </w:rPr>
        <w:t xml:space="preserve">   </w:t>
      </w:r>
      <w:r>
        <w:rPr>
          <w:rStyle w:val="C3"/>
          <w:sz w:val="24"/>
          <w:u w:val="single"/>
        </w:rPr>
        <w:t>Incisos 2 y 3,</w:t>
      </w:r>
      <w:r>
        <w:rPr>
          <w:rStyle w:val="C3"/>
          <w:sz w:val="24"/>
        </w:rPr>
        <w:t xml:space="preserve"> será SANCIONADO CON MULTA MÍNIMA DE 300 UF A MAXIMA DE 3000 UF y/o inhabilitación temporal de hasta ciento veinte (120) días para el ejercicio de la actividad específica.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Art.10</w:t>
      </w:r>
      <w:r>
        <w:rPr>
          <w:rStyle w:val="C3"/>
          <w:sz w:val="24"/>
        </w:rPr>
        <w:t>: El incumplimiento de lo normado por el art. 3, por parte de la empresa habilitada e inscripta y/o por parte del generador de residuos de residuos definidos como “inertes”, será sancionado con MULTA MÍNIMA DE 1000 UF Y MÁXIMA DE 5000 UF. En caso de tratarse de empresa privada autorizada, además, podrá ser sancionada con la accesoria de inhabilitación temporal de hasta ciento veinte (120) días. La reincidencia, podrá ser causal de inhabilitación definitiva.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Art.11</w:t>
      </w:r>
      <w:r>
        <w:rPr>
          <w:rStyle w:val="C3"/>
          <w:sz w:val="24"/>
        </w:rPr>
        <w:t>:</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DIECINUEVE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77C62AB"/>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1">
    <w:nsid w:val="152E31A2"/>
    <w:multiLevelType w:val="multilevel"/>
    <w:lvl w:ilvl="0">
      <w:start w:val="1"/>
      <w:numFmt w:val="lowerLetter"/>
      <w:suff w:val="tab"/>
      <w:lvlText w:val="%1)"/>
      <w:lvlJc w:val="left"/>
      <w:pPr>
        <w:ind w:hanging="360" w:left="795"/>
      </w:pPr>
      <w:rPr>
        <w:u w:val="none"/>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
    <w:nsid w:val="37E9232B"/>
    <w:multiLevelType w:val="multilevel"/>
    <w:lvl w:ilvl="0">
      <w:start w:val="1"/>
      <w:numFmt w:val="decimal"/>
      <w:suff w:val="tab"/>
      <w:lvlText w:val="%1)"/>
      <w:lvlJc w:val="left"/>
      <w:pPr>
        <w:ind w:hanging="360" w:left="1095"/>
      </w:pPr>
      <w:rPr/>
    </w:lvl>
    <w:lvl w:ilvl="1">
      <w:start w:val="1"/>
      <w:numFmt w:val="lowerLetter"/>
      <w:suff w:val="tab"/>
      <w:lvlText w:val="%2."/>
      <w:lvlJc w:val="left"/>
      <w:pPr>
        <w:ind w:hanging="360" w:left="1815"/>
      </w:pPr>
      <w:rPr/>
    </w:lvl>
    <w:lvl w:ilvl="2">
      <w:start w:val="1"/>
      <w:numFmt w:val="lowerRoman"/>
      <w:suff w:val="tab"/>
      <w:lvlText w:val="%3."/>
      <w:lvlJc w:val="right"/>
      <w:pPr>
        <w:ind w:hanging="180" w:left="2535"/>
      </w:pPr>
      <w:rPr/>
    </w:lvl>
    <w:lvl w:ilvl="3">
      <w:start w:val="1"/>
      <w:numFmt w:val="decimal"/>
      <w:suff w:val="tab"/>
      <w:lvlText w:val="%4."/>
      <w:lvlJc w:val="left"/>
      <w:pPr>
        <w:ind w:hanging="360" w:left="3255"/>
      </w:pPr>
      <w:rPr/>
    </w:lvl>
    <w:lvl w:ilvl="4">
      <w:start w:val="1"/>
      <w:numFmt w:val="lowerLetter"/>
      <w:suff w:val="tab"/>
      <w:lvlText w:val="%5."/>
      <w:lvlJc w:val="left"/>
      <w:pPr>
        <w:ind w:hanging="360" w:left="3975"/>
      </w:pPr>
      <w:rPr/>
    </w:lvl>
    <w:lvl w:ilvl="5">
      <w:start w:val="1"/>
      <w:numFmt w:val="lowerRoman"/>
      <w:suff w:val="tab"/>
      <w:lvlText w:val="%6."/>
      <w:lvlJc w:val="right"/>
      <w:pPr>
        <w:ind w:hanging="180" w:left="4695"/>
      </w:pPr>
      <w:rPr/>
    </w:lvl>
    <w:lvl w:ilvl="6">
      <w:start w:val="1"/>
      <w:numFmt w:val="decimal"/>
      <w:suff w:val="tab"/>
      <w:lvlText w:val="%7."/>
      <w:lvlJc w:val="left"/>
      <w:pPr>
        <w:ind w:hanging="360" w:left="5415"/>
      </w:pPr>
      <w:rPr/>
    </w:lvl>
    <w:lvl w:ilvl="7">
      <w:start w:val="1"/>
      <w:numFmt w:val="lowerLetter"/>
      <w:suff w:val="tab"/>
      <w:lvlText w:val="%8."/>
      <w:lvlJc w:val="left"/>
      <w:pPr>
        <w:ind w:hanging="360" w:left="6135"/>
      </w:pPr>
      <w:rPr/>
    </w:lvl>
    <w:lvl w:ilvl="8">
      <w:start w:val="1"/>
      <w:numFmt w:val="lowerRoman"/>
      <w:suff w:val="tab"/>
      <w:lvlText w:val="%9."/>
      <w:lvlJc w:val="right"/>
      <w:pPr>
        <w:ind w:hanging="180" w:left="6855"/>
      </w:pPr>
      <w:rPr/>
    </w:lvl>
  </w:abstractNum>
  <w:abstractNum w:abstractNumId="3">
    <w:nsid w:val="5C283504"/>
    <w:multiLevelType w:val="multilevel"/>
    <w:lvl w:ilvl="0">
      <w:start w:val="1"/>
      <w:numFmt w:val="decimal"/>
      <w:suff w:val="tab"/>
      <w:lvlText w:val="%1)"/>
      <w:lvlJc w:val="left"/>
      <w:pPr>
        <w:ind w:hanging="360" w:left="1455"/>
      </w:pPr>
      <w:rPr/>
    </w:lvl>
    <w:lvl w:ilvl="1">
      <w:start w:val="1"/>
      <w:numFmt w:val="lowerLetter"/>
      <w:suff w:val="tab"/>
      <w:lvlText w:val="%2."/>
      <w:lvlJc w:val="left"/>
      <w:pPr>
        <w:ind w:hanging="360" w:left="2175"/>
      </w:pPr>
      <w:rPr/>
    </w:lvl>
    <w:lvl w:ilvl="2">
      <w:start w:val="1"/>
      <w:numFmt w:val="lowerRoman"/>
      <w:suff w:val="tab"/>
      <w:lvlText w:val="%3."/>
      <w:lvlJc w:val="right"/>
      <w:pPr>
        <w:ind w:hanging="180" w:left="2895"/>
      </w:pPr>
      <w:rPr/>
    </w:lvl>
    <w:lvl w:ilvl="3">
      <w:start w:val="1"/>
      <w:numFmt w:val="decimal"/>
      <w:suff w:val="tab"/>
      <w:lvlText w:val="%4."/>
      <w:lvlJc w:val="left"/>
      <w:pPr>
        <w:ind w:hanging="360" w:left="3615"/>
      </w:pPr>
      <w:rPr/>
    </w:lvl>
    <w:lvl w:ilvl="4">
      <w:start w:val="1"/>
      <w:numFmt w:val="lowerLetter"/>
      <w:suff w:val="tab"/>
      <w:lvlText w:val="%5."/>
      <w:lvlJc w:val="left"/>
      <w:pPr>
        <w:ind w:hanging="360" w:left="4335"/>
      </w:pPr>
      <w:rPr/>
    </w:lvl>
    <w:lvl w:ilvl="5">
      <w:start w:val="1"/>
      <w:numFmt w:val="lowerRoman"/>
      <w:suff w:val="tab"/>
      <w:lvlText w:val="%6."/>
      <w:lvlJc w:val="right"/>
      <w:pPr>
        <w:ind w:hanging="180" w:left="5055"/>
      </w:pPr>
      <w:rPr/>
    </w:lvl>
    <w:lvl w:ilvl="6">
      <w:start w:val="1"/>
      <w:numFmt w:val="decimal"/>
      <w:suff w:val="tab"/>
      <w:lvlText w:val="%7."/>
      <w:lvlJc w:val="left"/>
      <w:pPr>
        <w:ind w:hanging="360" w:left="5775"/>
      </w:pPr>
      <w:rPr/>
    </w:lvl>
    <w:lvl w:ilvl="7">
      <w:start w:val="1"/>
      <w:numFmt w:val="lowerLetter"/>
      <w:suff w:val="tab"/>
      <w:lvlText w:val="%8."/>
      <w:lvlJc w:val="left"/>
      <w:pPr>
        <w:ind w:hanging="360" w:left="6495"/>
      </w:pPr>
      <w:rPr/>
    </w:lvl>
    <w:lvl w:ilvl="8">
      <w:start w:val="1"/>
      <w:numFmt w:val="lowerRoman"/>
      <w:suff w:val="tab"/>
      <w:lvlText w:val="%9."/>
      <w:lvlJc w:val="right"/>
      <w:pPr>
        <w:ind w:hanging="180" w:left="7215"/>
      </w:pPr>
      <w:rPr/>
    </w:lvl>
  </w:abstractNum>
  <w:abstractNum w:abstractNumId="4">
    <w:nsid w:val="5D3634ED"/>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5">
    <w:nsid w:val="7BBD5F99"/>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2012-12-26T15:51:00Z</dcterms:created>
  <cp:lastModifiedBy>Ethan Puglia</cp:lastModifiedBy>
  <cp:lastPrinted>2012-12-26T15:49:00Z</cp:lastPrinted>
  <dcterms:modified xsi:type="dcterms:W3CDTF">2019-03-28T17:33:09Z</dcterms:modified>
  <cp:revision>20</cp:revision>
  <dc:title>PROYECTO DE ORDENANZA VIOLENCIA FAMILIAR</dc:title>
</cp:coreProperties>
</file>