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B6441EA" Type="http://schemas.openxmlformats.org/officeDocument/2006/relationships/officeDocument" Target="/word/document.xml" /><Relationship Id="coreR3B6441E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9441</w:t>
      </w: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La Ordenanza Nº 9368; y</w:t>
      </w:r>
    </w:p>
    <w:p>
      <w:pPr>
        <w:spacing w:before="100" w:after="100" w:beforeAutospacing="1" w:afterAutospacing="1"/>
        <w:ind w:hanging="709" w:left="709"/>
        <w:jc w:val="both"/>
        <w:rPr>
          <w:rStyle w:val="C3"/>
          <w:rFonts w:ascii="Courier New" w:hAnsi="Courier New"/>
          <w:b w:val="1"/>
        </w:rPr>
      </w:pPr>
      <w:r>
        <w:rPr>
          <w:rStyle w:val="C3"/>
          <w:rFonts w:ascii="Courier New" w:hAnsi="Courier New"/>
        </w:rPr>
        <w:t xml:space="preserve"> </w:t>
      </w: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both"/>
        <w:rPr>
          <w:rStyle w:val="C3"/>
          <w:rFonts w:ascii="Courier New" w:hAnsi="Courier New"/>
        </w:rPr>
      </w:pPr>
      <w:r>
        <w:rPr>
          <w:rStyle w:val="C3"/>
          <w:rFonts w:ascii="Courier New" w:hAnsi="Courier New"/>
        </w:rPr>
        <w:t xml:space="preserve"> </w:t>
      </w:r>
    </w:p>
    <w:p>
      <w:pPr>
        <w:spacing w:beforeAutospacing="1" w:afterAutospacing="1"/>
        <w:ind w:left="709"/>
        <w:jc w:val="both"/>
        <w:rPr>
          <w:rStyle w:val="C3"/>
          <w:rFonts w:ascii="Courier New" w:hAnsi="Courier New"/>
        </w:rPr>
      </w:pPr>
      <w:r>
        <w:rPr>
          <w:rStyle w:val="C3"/>
          <w:rFonts w:ascii="Courier New" w:hAnsi="Courier New"/>
        </w:rPr>
        <w:t xml:space="preserve">Que a través de la misma la Municipalidad de Alta Gracia se acogió al Régimen de Auto seguros que establece la Ley Nº 24.557 sobre Riesgos de Trabajo en su art. 3 inc. 4 que da la posibilidad de autoasegurarse por los riesgos de trabajo, opción prevista para los  Municipios;</w:t>
      </w:r>
    </w:p>
    <w:p>
      <w:pPr>
        <w:spacing w:beforeAutospacing="1" w:afterAutospacing="1"/>
        <w:ind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ab/>
        <w:t xml:space="preserve">Que a través de la misma se autorizó al Departamento Ejecutivo, que a través del Intendente Municipal, se suscribiera el contrato con Asesores de Córdoba S.A. (ASECOR) Organismo Técnico y Asesor del Gobierno de la Provincia de Córdoba (Ley Nº 9454, Art. 33)  a los fines de garantizar así la cobertura para sus empleados;</w:t>
      </w:r>
    </w:p>
    <w:p>
      <w:pPr>
        <w:spacing w:beforeAutospacing="1" w:afterAutospacing="1"/>
        <w:ind w:hanging="709"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el Sindicato de Trabajadores Municipales de Alta Gracia y la Zona (SITRAMAG) ha declarado su disconformidad y oposición tanto al Régimen de Auto seguros como a la suscripción del Contrato con la Empresa Asesores Córdoba S.A., de manera verbal y escrita;</w:t>
      </w:r>
    </w:p>
    <w:p>
      <w:pPr>
        <w:spacing w:beforeAutospacing="1" w:afterAutospacing="1"/>
        <w:ind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ab/>
        <w:t xml:space="preserve">Que todo con el criterio de ahondar en el autoseguro a   fin de concretarlo cuando la situación así lo amerite;</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ab/>
        <w:t>Que esta situación obliga a rever las altas primas que abona la Municipalidad a la ART que contrataron con anterioridad, las cual surgirían de la alta siniestralidad de este Municipio, en razón de la cantidad de acciones legales iniciadas por empleados municipales con las prestadoras de coberturas de riesgos de trabajo;</w:t>
      </w:r>
    </w:p>
    <w:p>
      <w:pPr>
        <w:spacing w:beforeAutospacing="1" w:afterAutospacing="1"/>
        <w:ind w:hanging="709" w:left="709"/>
        <w:jc w:val="right"/>
        <w:rPr>
          <w:rStyle w:val="C3"/>
          <w:rFonts w:ascii="Courier New" w:hAnsi="Courier New"/>
        </w:rPr>
      </w:pPr>
      <w:r>
        <w:rPr>
          <w:rStyle w:val="C3"/>
          <w:rFonts w:ascii="Courier New" w:hAnsi="Courier New"/>
        </w:rPr>
        <w:t>...///</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ab/>
      </w:r>
    </w:p>
    <w:p>
      <w:pPr>
        <w:spacing w:beforeAutospacing="1" w:afterAutospacing="1"/>
        <w:ind w:hanging="709" w:left="709"/>
        <w:jc w:val="both"/>
        <w:rPr>
          <w:rStyle w:val="C3"/>
          <w:rFonts w:ascii="Courier New" w:hAnsi="Courier New"/>
        </w:rPr>
      </w:pPr>
      <w:r>
        <w:rPr>
          <w:rStyle w:val="C3"/>
          <w:rFonts w:ascii="Courier New" w:hAnsi="Courier New"/>
        </w:rPr>
        <w:t>...///2.-</w:t>
      </w:r>
    </w:p>
    <w:p>
      <w:pPr>
        <w:spacing w:beforeAutospacing="1" w:afterAutospacing="1"/>
        <w:ind w:hanging="709"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si bien es prudente seguir la opinión de los representantes de los trabajadores beneficiarios, se debe velar por el patrimonio de la Municipalidad,  para lo cual se debe determinar la razonabilidad de las primas facturadas en los contratos preexistentes, como la razonabilidad de los juicios entablados. Para esto se hace necesario suspender los pagos de deudas pendientes a fin que la ART acreedora, Swiss Medical Group A.R.T., proceda a consolidar la deuda, determinando los fundamentos de los aumentos de porcentual sobre la base salarial durante todo el tiempo del contrato que la vinculara con la Municipalidad, en relación a los contratos de seguros que le precedieron de manera inmediata;</w:t>
      </w:r>
    </w:p>
    <w:p>
      <w:pPr>
        <w:spacing w:beforeAutospacing="1" w:afterAutospacing="1"/>
        <w:ind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ab/>
        <w:t xml:space="preserve">Que a la vez se hace necesario contar con un análisis acabado de todas y cada una de las causas radicadas ante la justicia, que rondarían los doscientos sesenta juicios, sobre un plantel de seiscientos cincuenta asegurados, uno de los más altos índices de siniestralidad del país, advirtiéndose una fuerte distorsión  entre la cantidad de empleados asegurados y la cantidad de juicios laborales por accidentes de trabajo y enfermedades profesionales;</w:t>
      </w:r>
    </w:p>
    <w:p>
      <w:pPr>
        <w:spacing w:beforeAutospacing="1" w:afterAutospacing="1"/>
        <w:ind w:hanging="709"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para ello se debe autorizar al Departamento Ejecutivo a fin que efectúe las presentaciones y pedidos de investigación ante la Justicia competente, a fin de determinar relaciones existentes entre juicios iniciados, acuerdos extrajudiciales homologados ante el Poder Judicial y pagos efectuados en concepto de indemnizaciones y costas judiciales por la última aseguradora. De dicho relevamiento, y su cotejo con la realidad sanitaria del personal eventualmente beneficiado, se pueda determinar la razonabilidad y la existencia de reclamos ilegítimos que pueden haber redundado en un aumento de las erogaciones a cargo de la Municipalidad;</w:t>
      </w:r>
    </w:p>
    <w:p>
      <w:pPr>
        <w:spacing w:lineRule="auto" w:line="360" w:beforeAutospacing="1" w:afterAutospacing="1"/>
        <w:ind w:hanging="709" w:left="709"/>
        <w:jc w:val="right"/>
        <w:rPr>
          <w:rStyle w:val="C3"/>
          <w:rFonts w:ascii="Courier New" w:hAnsi="Courier New"/>
        </w:rPr>
      </w:pPr>
      <w:r>
        <w:rPr>
          <w:rStyle w:val="C3"/>
          <w:rFonts w:ascii="Courier New" w:hAnsi="Courier New"/>
        </w:rPr>
        <w:t>...///</w:t>
      </w: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...///3.-</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evaluado el Proyecto de Ordenanza por el Concejo constituido en Comisión se emiten diferentes despachos aprobándose por mayoría en sesión del día 28 de diciembre de 2012, el despacho favorable.</w:t>
      </w: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ind w:hanging="426" w:left="426"/>
        <w:jc w:val="both"/>
        <w:rPr>
          <w:rStyle w:val="C3"/>
          <w:sz w:val="24"/>
        </w:rPr>
      </w:pPr>
    </w:p>
    <w:p>
      <w:pPr>
        <w:spacing w:beforeAutospacing="1" w:afterAutospacing="1"/>
        <w:ind w:hanging="426" w:left="426"/>
        <w:jc w:val="both"/>
        <w:rPr>
          <w:rStyle w:val="C3"/>
        </w:rPr>
      </w:pPr>
      <w:r>
        <w:rPr>
          <w:rStyle w:val="C3"/>
          <w:rFonts w:ascii="Courier New" w:hAnsi="Courier New"/>
          <w:b w:val="1"/>
          <w:u w:val="single"/>
        </w:rPr>
        <w:t>Art.1</w:t>
      </w:r>
      <w:r>
        <w:rPr>
          <w:rStyle w:val="C3"/>
          <w:rFonts w:ascii="Courier New" w:hAnsi="Courier New"/>
          <w:b w:val="1"/>
        </w:rPr>
        <w:t>:</w:t>
      </w:r>
      <w:r>
        <w:rPr>
          <w:rStyle w:val="C3"/>
          <w:b w:val="1"/>
        </w:rPr>
        <w:t xml:space="preserve"> </w:t>
      </w:r>
      <w:r>
        <w:rPr>
          <w:rStyle w:val="C3"/>
          <w:rFonts w:ascii="Courier New" w:hAnsi="Courier New"/>
          <w:b w:val="1"/>
        </w:rPr>
        <w:t>DEROGUESE</w:t>
      </w:r>
      <w:r>
        <w:rPr>
          <w:rStyle w:val="C3"/>
          <w:b w:val="1"/>
        </w:rPr>
        <w:t xml:space="preserve"> </w:t>
      </w:r>
      <w:r>
        <w:rPr>
          <w:rStyle w:val="C3"/>
          <w:rFonts w:ascii="Courier New" w:hAnsi="Courier New"/>
        </w:rPr>
        <w:t>la Ordenanza Nº 9368 por la cual la Municipalidad se acogía al Régimen de Auto seguros prevista por ley 24.557 en su art. 3 inc. 4.-</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u w:val="single"/>
        </w:rPr>
      </w:pPr>
      <w:r>
        <w:rPr>
          <w:rStyle w:val="C3"/>
          <w:b w:val="1"/>
          <w:sz w:val="24"/>
          <w:u w:val="single"/>
        </w:rPr>
        <w:t>Art.2</w:t>
      </w:r>
      <w:r>
        <w:rPr>
          <w:rStyle w:val="C3"/>
          <w:b w:val="1"/>
          <w:sz w:val="24"/>
        </w:rPr>
        <w:t>:</w:t>
      </w:r>
      <w:r>
        <w:rPr>
          <w:rStyle w:val="C3"/>
          <w:sz w:val="24"/>
        </w:rPr>
        <w:t xml:space="preserve"> </w:t>
      </w:r>
      <w:r>
        <w:rPr>
          <w:rStyle w:val="C3"/>
          <w:b w:val="1"/>
          <w:sz w:val="24"/>
        </w:rPr>
        <w:t>DECLARE</w:t>
      </w:r>
      <w:r>
        <w:rPr>
          <w:rStyle w:val="C3"/>
          <w:b w:val="1"/>
          <w:sz w:val="24"/>
        </w:rPr>
        <w:t>N</w:t>
      </w:r>
      <w:r>
        <w:rPr>
          <w:rStyle w:val="C3"/>
          <w:b w:val="1"/>
          <w:sz w:val="24"/>
        </w:rPr>
        <w:t>SE</w:t>
      </w:r>
      <w:r>
        <w:rPr>
          <w:rStyle w:val="C3"/>
          <w:sz w:val="24"/>
        </w:rPr>
        <w:t xml:space="preserve"> de legítimo abono las prestaciones brindadas por la empresa ASESORES CÓRDOBA S.A. (ASECOR) en el caso que hayan sido otorgadas.</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Art.3</w:t>
      </w:r>
      <w:r>
        <w:rPr>
          <w:rStyle w:val="C3"/>
          <w:b w:val="1"/>
        </w:rPr>
        <w:t>:</w:t>
      </w:r>
      <w:r>
        <w:rPr>
          <w:rStyle w:val="C3"/>
          <w:rFonts w:ascii="Courier New" w:hAnsi="Courier New"/>
        </w:rPr>
        <w:t xml:space="preserve"> </w:t>
      </w:r>
      <w:r>
        <w:rPr>
          <w:rStyle w:val="C3"/>
          <w:rFonts w:ascii="Courier New" w:hAnsi="Courier New"/>
          <w:b w:val="1"/>
        </w:rPr>
        <w:t xml:space="preserve">AUTORICESE </w:t>
      </w:r>
      <w:r>
        <w:rPr>
          <w:rStyle w:val="C3"/>
          <w:rFonts w:ascii="Courier New" w:hAnsi="Courier New"/>
        </w:rPr>
        <w:t>al Departamento Ejecutivo a realizar las presentaciones que sean necesarias ante el Poder Judicial, a fin de peticionar que éste determine la existencia de juicios iniciados, ya sea en trámite o terminados, sus correlaciones en cuanto a patrocinios, peritos, dolencias denunciadas y montos abonados, desde el año 2008 a la fecha.</w:t>
      </w:r>
    </w:p>
    <w:p>
      <w:pPr>
        <w:spacing w:beforeAutospacing="1" w:afterAutospacing="1"/>
        <w:jc w:val="both"/>
        <w:rPr>
          <w:rStyle w:val="C3"/>
          <w:rFonts w:ascii="Courier New" w:hAnsi="Courier New"/>
        </w:rPr>
      </w:pPr>
    </w:p>
    <w:p>
      <w:pPr>
        <w:spacing w:beforeAutospacing="1" w:afterAutospacing="1"/>
        <w:ind w:hanging="426" w:left="426"/>
        <w:jc w:val="both"/>
        <w:rPr>
          <w:rStyle w:val="C3"/>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SUSPENDER</w:t>
      </w:r>
      <w:r>
        <w:rPr>
          <w:rStyle w:val="C3"/>
          <w:rFonts w:ascii="Courier New" w:hAnsi="Courier New"/>
        </w:rPr>
        <w:t xml:space="preserve"> el pago a Swiss Medical Group ART hasta tanto la misma no dé detalle fundando de las diferencias porcentuales de prima liquidados sobre la masa salarial, con relación al contrato de seguro de riesgos de trabajo que le precedió. </w:t>
      </w:r>
    </w:p>
    <w:p>
      <w:pPr>
        <w:pStyle w:val="P20"/>
        <w:spacing w:lineRule="auto" w:line="276"/>
        <w:jc w:val="both"/>
        <w:rPr>
          <w:rStyle w:val="C3"/>
          <w:sz w:val="24"/>
        </w:rPr>
      </w:pPr>
    </w:p>
    <w:p>
      <w:pPr>
        <w:pStyle w:val="P20"/>
        <w:ind w:hanging="426" w:left="426"/>
        <w:jc w:val="both"/>
        <w:rPr>
          <w:rStyle w:val="C3"/>
          <w:sz w:val="24"/>
        </w:rPr>
      </w:pPr>
      <w:r>
        <w:rPr>
          <w:rStyle w:val="C3"/>
          <w:b w:val="1"/>
          <w:sz w:val="24"/>
          <w:u w:val="single"/>
        </w:rPr>
        <w:t>Art.</w:t>
      </w:r>
      <w:r>
        <w:rPr>
          <w:rStyle w:val="C3"/>
          <w:b w:val="1"/>
          <w:sz w:val="24"/>
          <w:u w:val="single"/>
        </w:rPr>
        <w:t>5</w:t>
      </w:r>
      <w:r>
        <w:rPr>
          <w:rStyle w:val="C3"/>
          <w:b w:val="1"/>
          <w:sz w:val="24"/>
        </w:rPr>
        <w:t>:</w:t>
      </w:r>
      <w:r>
        <w:rPr>
          <w:rStyle w:val="C3"/>
          <w:sz w:val="24"/>
        </w:rPr>
        <w:t xml:space="preserve"> </w:t>
      </w:r>
      <w:r>
        <w:rPr>
          <w:rStyle w:val="C3"/>
          <w:b w:val="1"/>
          <w:sz w:val="24"/>
        </w:rPr>
        <w:t>DEJAR</w:t>
      </w:r>
      <w:r>
        <w:rPr>
          <w:rStyle w:val="C3"/>
          <w:sz w:val="24"/>
        </w:rPr>
        <w:t xml:space="preserve"> sin efecto cualquier prórroga de jurisdicción, tanto territorial, como por materia, de contratos suscriptos por la Municipalidad de Alta Gracia con cualquier prestadora del servicio de seguro de riesgos del trabajo.</w:t>
      </w:r>
    </w:p>
    <w:p>
      <w:pPr>
        <w:pStyle w:val="P20"/>
        <w:ind w:hanging="426" w:left="426"/>
        <w:jc w:val="both"/>
        <w:rPr>
          <w:rStyle w:val="C3"/>
          <w:sz w:val="24"/>
        </w:rPr>
      </w:pPr>
    </w:p>
    <w:p>
      <w:pPr>
        <w:pStyle w:val="P20"/>
        <w:ind w:hanging="426" w:left="426"/>
        <w:jc w:val="right"/>
        <w:rPr>
          <w:rStyle w:val="C3"/>
          <w:sz w:val="24"/>
        </w:rPr>
      </w:pPr>
      <w:r>
        <w:rPr>
          <w:rStyle w:val="C3"/>
          <w:sz w:val="24"/>
        </w:rPr>
        <w:t>...///</w:t>
      </w: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b w:val="1"/>
          <w:sz w:val="24"/>
          <w:u w:val="single"/>
        </w:rPr>
      </w:pPr>
    </w:p>
    <w:p>
      <w:pPr>
        <w:pStyle w:val="P20"/>
        <w:ind w:hanging="426" w:left="426"/>
        <w:jc w:val="both"/>
        <w:rPr>
          <w:rStyle w:val="C3"/>
          <w:sz w:val="24"/>
        </w:rPr>
      </w:pPr>
      <w:r>
        <w:rPr>
          <w:rStyle w:val="C3"/>
          <w:sz w:val="24"/>
        </w:rPr>
        <w:t>...///4.-</w:t>
      </w: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sz w:val="24"/>
        </w:rPr>
      </w:pPr>
      <w:r>
        <w:rPr>
          <w:rStyle w:val="C3"/>
          <w:b w:val="1"/>
          <w:sz w:val="24"/>
          <w:u w:val="single"/>
        </w:rPr>
        <w:t>Art.6</w:t>
      </w:r>
      <w:r>
        <w:rPr>
          <w:rStyle w:val="C3"/>
          <w:b w:val="1"/>
          <w:sz w:val="24"/>
        </w:rPr>
        <w:t>: DAR</w:t>
      </w:r>
      <w:r>
        <w:rPr>
          <w:rStyle w:val="C3"/>
          <w:sz w:val="24"/>
        </w:rPr>
        <w:t xml:space="preserve"> noticia en forma inmediata por medio fehaciente a la compañía aseguradora con créditos pendientes.</w:t>
      </w:r>
    </w:p>
    <w:p>
      <w:pPr>
        <w:pStyle w:val="P20"/>
        <w:ind w:hanging="426" w:left="426"/>
        <w:jc w:val="both"/>
        <w:rPr>
          <w:rStyle w:val="C3"/>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7</w:t>
      </w:r>
      <w:r>
        <w:rPr>
          <w:rStyle w:val="C3"/>
          <w:b w:val="1"/>
          <w:sz w:val="24"/>
        </w:rPr>
        <w:t>:</w:t>
      </w:r>
      <w:r>
        <w:rPr>
          <w:rStyle w:val="C3"/>
          <w:b w:val="1"/>
          <w:sz w:val="24"/>
        </w:rPr>
        <w:t xml:space="preserve"> PROCEDASE </w:t>
      </w:r>
      <w:r>
        <w:rPr>
          <w:rStyle w:val="C3"/>
          <w:sz w:val="24"/>
        </w:rPr>
        <w:t>a iniciar las actuaciones administrativas para determinar la legalidad de la contratación de la ART Swiss Medical Group.</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Art.8</w:t>
      </w:r>
      <w:r>
        <w:rPr>
          <w:rStyle w:val="C3"/>
          <w:b w:val="1"/>
          <w:sz w:val="24"/>
        </w:rPr>
        <w:t xml:space="preserve">: </w:t>
      </w:r>
      <w:r>
        <w:rPr>
          <w:rStyle w:val="C3"/>
          <w:b w:val="1"/>
          <w:sz w:val="24"/>
        </w:rPr>
        <w:t xml:space="preserve">AUTORIZASE </w:t>
      </w:r>
      <w:r>
        <w:rPr>
          <w:rStyle w:val="C3"/>
          <w:sz w:val="24"/>
        </w:rPr>
        <w:t>al Departamento Ejecutivo a realizar la contratación directa de la aseguradora que tendrá a su cargo cumplir con las exigencias del la Ley Nº 24557.-</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Art.9</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pPr>
      <w:r>
        <w:t xml:space="preserve">DADA EN LA SALA DE SESIONES DEL HONORABLE CONCEJO DELIBERANTE A LOS VIENTIOCHO DÍAS DEL MES DICIEMBRE DEL AÑO DOS MIL DOCE.-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135"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77C62AB"/>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1">
    <w:nsid w:val="152E31A2"/>
    <w:multiLevelType w:val="multilevel"/>
    <w:lvl w:ilvl="0">
      <w:start w:val="1"/>
      <w:numFmt w:val="lowerLetter"/>
      <w:suff w:val="tab"/>
      <w:lvlText w:val="%1)"/>
      <w:lvlJc w:val="left"/>
      <w:pPr>
        <w:ind w:hanging="360" w:left="795"/>
      </w:pPr>
      <w:rPr>
        <w:u w:val="none"/>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
    <w:nsid w:val="37E9232B"/>
    <w:multiLevelType w:val="multilevel"/>
    <w:lvl w:ilvl="0">
      <w:start w:val="1"/>
      <w:numFmt w:val="decimal"/>
      <w:suff w:val="tab"/>
      <w:lvlText w:val="%1)"/>
      <w:lvlJc w:val="left"/>
      <w:pPr>
        <w:ind w:hanging="360" w:left="1095"/>
      </w:pPr>
      <w:rPr/>
    </w:lvl>
    <w:lvl w:ilvl="1">
      <w:start w:val="1"/>
      <w:numFmt w:val="lowerLetter"/>
      <w:suff w:val="tab"/>
      <w:lvlText w:val="%2."/>
      <w:lvlJc w:val="left"/>
      <w:pPr>
        <w:ind w:hanging="360" w:left="1815"/>
      </w:pPr>
      <w:rPr/>
    </w:lvl>
    <w:lvl w:ilvl="2">
      <w:start w:val="1"/>
      <w:numFmt w:val="lowerRoman"/>
      <w:suff w:val="tab"/>
      <w:lvlText w:val="%3."/>
      <w:lvlJc w:val="right"/>
      <w:pPr>
        <w:ind w:hanging="180" w:left="2535"/>
      </w:pPr>
      <w:rPr/>
    </w:lvl>
    <w:lvl w:ilvl="3">
      <w:start w:val="1"/>
      <w:numFmt w:val="decimal"/>
      <w:suff w:val="tab"/>
      <w:lvlText w:val="%4."/>
      <w:lvlJc w:val="left"/>
      <w:pPr>
        <w:ind w:hanging="360" w:left="3255"/>
      </w:pPr>
      <w:rPr/>
    </w:lvl>
    <w:lvl w:ilvl="4">
      <w:start w:val="1"/>
      <w:numFmt w:val="lowerLetter"/>
      <w:suff w:val="tab"/>
      <w:lvlText w:val="%5."/>
      <w:lvlJc w:val="left"/>
      <w:pPr>
        <w:ind w:hanging="360" w:left="3975"/>
      </w:pPr>
      <w:rPr/>
    </w:lvl>
    <w:lvl w:ilvl="5">
      <w:start w:val="1"/>
      <w:numFmt w:val="lowerRoman"/>
      <w:suff w:val="tab"/>
      <w:lvlText w:val="%6."/>
      <w:lvlJc w:val="right"/>
      <w:pPr>
        <w:ind w:hanging="180" w:left="4695"/>
      </w:pPr>
      <w:rPr/>
    </w:lvl>
    <w:lvl w:ilvl="6">
      <w:start w:val="1"/>
      <w:numFmt w:val="decimal"/>
      <w:suff w:val="tab"/>
      <w:lvlText w:val="%7."/>
      <w:lvlJc w:val="left"/>
      <w:pPr>
        <w:ind w:hanging="360" w:left="5415"/>
      </w:pPr>
      <w:rPr/>
    </w:lvl>
    <w:lvl w:ilvl="7">
      <w:start w:val="1"/>
      <w:numFmt w:val="lowerLetter"/>
      <w:suff w:val="tab"/>
      <w:lvlText w:val="%8."/>
      <w:lvlJc w:val="left"/>
      <w:pPr>
        <w:ind w:hanging="360" w:left="6135"/>
      </w:pPr>
      <w:rPr/>
    </w:lvl>
    <w:lvl w:ilvl="8">
      <w:start w:val="1"/>
      <w:numFmt w:val="lowerRoman"/>
      <w:suff w:val="tab"/>
      <w:lvlText w:val="%9."/>
      <w:lvlJc w:val="right"/>
      <w:pPr>
        <w:ind w:hanging="180" w:left="6855"/>
      </w:pPr>
      <w:rPr/>
    </w:lvl>
  </w:abstractNum>
  <w:abstractNum w:abstractNumId="3">
    <w:nsid w:val="5C283504"/>
    <w:multiLevelType w:val="multilevel"/>
    <w:lvl w:ilvl="0">
      <w:start w:val="1"/>
      <w:numFmt w:val="decimal"/>
      <w:suff w:val="tab"/>
      <w:lvlText w:val="%1)"/>
      <w:lvlJc w:val="left"/>
      <w:pPr>
        <w:ind w:hanging="360" w:left="1455"/>
      </w:pPr>
      <w:rPr/>
    </w:lvl>
    <w:lvl w:ilvl="1">
      <w:start w:val="1"/>
      <w:numFmt w:val="lowerLetter"/>
      <w:suff w:val="tab"/>
      <w:lvlText w:val="%2."/>
      <w:lvlJc w:val="left"/>
      <w:pPr>
        <w:ind w:hanging="360" w:left="2175"/>
      </w:pPr>
      <w:rPr/>
    </w:lvl>
    <w:lvl w:ilvl="2">
      <w:start w:val="1"/>
      <w:numFmt w:val="lowerRoman"/>
      <w:suff w:val="tab"/>
      <w:lvlText w:val="%3."/>
      <w:lvlJc w:val="right"/>
      <w:pPr>
        <w:ind w:hanging="180" w:left="2895"/>
      </w:pPr>
      <w:rPr/>
    </w:lvl>
    <w:lvl w:ilvl="3">
      <w:start w:val="1"/>
      <w:numFmt w:val="decimal"/>
      <w:suff w:val="tab"/>
      <w:lvlText w:val="%4."/>
      <w:lvlJc w:val="left"/>
      <w:pPr>
        <w:ind w:hanging="360" w:left="3615"/>
      </w:pPr>
      <w:rPr/>
    </w:lvl>
    <w:lvl w:ilvl="4">
      <w:start w:val="1"/>
      <w:numFmt w:val="lowerLetter"/>
      <w:suff w:val="tab"/>
      <w:lvlText w:val="%5."/>
      <w:lvlJc w:val="left"/>
      <w:pPr>
        <w:ind w:hanging="360" w:left="4335"/>
      </w:pPr>
      <w:rPr/>
    </w:lvl>
    <w:lvl w:ilvl="5">
      <w:start w:val="1"/>
      <w:numFmt w:val="lowerRoman"/>
      <w:suff w:val="tab"/>
      <w:lvlText w:val="%6."/>
      <w:lvlJc w:val="right"/>
      <w:pPr>
        <w:ind w:hanging="180" w:left="5055"/>
      </w:pPr>
      <w:rPr/>
    </w:lvl>
    <w:lvl w:ilvl="6">
      <w:start w:val="1"/>
      <w:numFmt w:val="decimal"/>
      <w:suff w:val="tab"/>
      <w:lvlText w:val="%7."/>
      <w:lvlJc w:val="left"/>
      <w:pPr>
        <w:ind w:hanging="360" w:left="5775"/>
      </w:pPr>
      <w:rPr/>
    </w:lvl>
    <w:lvl w:ilvl="7">
      <w:start w:val="1"/>
      <w:numFmt w:val="lowerLetter"/>
      <w:suff w:val="tab"/>
      <w:lvlText w:val="%8."/>
      <w:lvlJc w:val="left"/>
      <w:pPr>
        <w:ind w:hanging="360" w:left="6495"/>
      </w:pPr>
      <w:rPr/>
    </w:lvl>
    <w:lvl w:ilvl="8">
      <w:start w:val="1"/>
      <w:numFmt w:val="lowerRoman"/>
      <w:suff w:val="tab"/>
      <w:lvlText w:val="%9."/>
      <w:lvlJc w:val="right"/>
      <w:pPr>
        <w:ind w:hanging="180" w:left="7215"/>
      </w:pPr>
      <w:rPr/>
    </w:lvl>
  </w:abstractNum>
  <w:abstractNum w:abstractNumId="4">
    <w:nsid w:val="5D3634ED"/>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5">
    <w:nsid w:val="7BBD5F99"/>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2013-01-02T14:00:00Z</dcterms:created>
  <cp:lastModifiedBy>Ethan Puglia</cp:lastModifiedBy>
  <cp:lastPrinted>2012-12-26T15:49:00Z</cp:lastPrinted>
  <dcterms:modified xsi:type="dcterms:W3CDTF">2019-03-28T17:33:09Z</dcterms:modified>
  <cp:revision>7</cp:revision>
  <dc:title>PROYECTO DE ORDENANZA VIOLENCIA FAMILIAR</dc:title>
</cp:coreProperties>
</file>