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D651DC0" Type="http://schemas.openxmlformats.org/officeDocument/2006/relationships/officeDocument" Target="/word/document.xml" /><Relationship Id="coreR1D651DC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9469</w:t>
      </w:r>
    </w:p>
    <w:p>
      <w:pPr>
        <w:spacing w:lineRule="auto" w:line="27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1005/12 iniciado por el Sr. Peghin Baston, Alejandro; y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C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A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eximición por deuda de Tasa por Servicios de Administración y Mantenimiento de los Cementerios – Cuenta Nº 318;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estudio socioeconómico realizado indica que es un hogar inserto en el sistema de previsión y seguridad social;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este hogar se encuentra debajo de la línea de pobreza y tiene un beneficio otorgado sobre Tasa a la Propiedad mediante Ordenanza Nº 9381;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                        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 la misma emite despacho favorable, despacho aprobado por unanimidad en sesión del día 15 de Abril de 2013.</w:t>
      </w: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jc w:val="both"/>
        <w:rPr>
          <w:rStyle w:val="C3"/>
          <w:sz w:val="24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AUTORIZAR </w:t>
      </w:r>
      <w:r>
        <w:rPr>
          <w:rStyle w:val="C3"/>
          <w:rFonts w:ascii="Courier New" w:hAnsi="Courier New"/>
        </w:rPr>
        <w:t>al Departamento Ejecutivo a otorgar un plan de pagos acorde a las posibilidades económicas del titular a valores históricos y prescribir los períodos que correspondan a la fecha de promulgación de la presente, por la deuda que en concepto de Tasas por Servicio de Administración y Mantenimiento de los Cementerios mantiene la Identificación Nº 000318.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 xml:space="preserve">SOLICITAR </w:t>
      </w:r>
      <w:r>
        <w:rPr>
          <w:rStyle w:val="C3"/>
          <w:sz w:val="24"/>
        </w:rPr>
        <w:t>al Sr. Intendente interceda ante el o los procuradores actuantes a fin de dejar sin efecto el o los juicios iniciados y los honorarios generados.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QUINCE DÍAS DEL MES DE ABRIL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025DB018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2DADB550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4487C6CA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4271F2C6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68832FD2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31FFA74E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09B3FFCA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4BDCEAB8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516156A9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33D90586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0F35C556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6B0B3AEE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63C97C8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258067FB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203C2BDB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46835D8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68B5CBA0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738BAFBD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1369CB82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31E029A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6AEBAA5E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23983CAE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8A23C61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207B1E81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95E0B3F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574F2D1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3013A335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0E0B66D3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14EC8C9C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6AAEF004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4FA842EC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70036F02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1B6DB65A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2F420256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0D1DB4AD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3B6A5F2E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1E0CE1C0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4620ABF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203EBFE0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11A56D7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DDFBAF5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460F8CB8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5D7CA4BD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36DC1A42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20155AD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74256F0D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657EDC3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0C27477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6AC35C1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7F40323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E84487E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4D4FD44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A797FF4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10E8437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62DD0FD7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5EC57368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50B79EE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40CA949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913E78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30E3D00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1EC051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BA898F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6F05F1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66B266A3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430C298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F325652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F9D8594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4877B2C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862B44E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4D1CCAC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8767CC6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5453C1E1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534CF0DD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24F74A9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53E47A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4DC1EA5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61B97F0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1C6221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E79C8D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5389C3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F1D050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7F512EBD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775F3111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7CF88978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7C2AA784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4AD346A8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7589EF0D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3A5F3221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4C64F27E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2E584144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365EE63F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7A003875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3B4E2338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2D3082DE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3F2E52BF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023722FF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0F1F2E9C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76CA3E18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52AB57A8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02CF005B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2013-04-16T14:08:00Z</dcterms:created>
  <cp:lastModifiedBy>Ethan Puglia</cp:lastModifiedBy>
  <cp:lastPrinted>2013-03-12T15:32:00Z</cp:lastPrinted>
  <dcterms:modified xsi:type="dcterms:W3CDTF">2019-03-28T17:33:10Z</dcterms:modified>
  <cp:revision>5</cp:revision>
  <dc:title>PROYECTO DE ORDENANZA VIOLENCIA FAMILIAR</dc:title>
</cp:coreProperties>
</file>