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8748EDD" Type="http://schemas.openxmlformats.org/officeDocument/2006/relationships/officeDocument" Target="/word/document.xml" /><Relationship Id="coreR18748ED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9477</w:t>
      </w:r>
    </w:p>
    <w:p>
      <w:pPr>
        <w:spacing w:lineRule="auto" w:line="27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709"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1254/07 iniciado por el Sr. Cisterna Miguel Ángel; y</w:t>
      </w: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C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O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N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S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I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A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N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O</w:t>
      </w: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solicita plan de pago por la deuda de Tasa por Servicios a la Propiedad  – Cuenta Nº 00028415;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solicitante realiza tareas de pintura de automotor, actividad que realiza en su domicilio y su esposa realiza tareas de servicio domestico;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su hijo trabaja para una empresa de mantenimiento de autos;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indica que es un hogar que cubriría la canasta básica total;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                                                 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Expediente por Comisión de Hacienda la misma emite despacho favorable, despacho aprobado por unanimidad en sesión del día 22 de Abril de 2013.</w:t>
      </w:r>
    </w:p>
    <w:p>
      <w:pPr>
        <w:spacing w:lineRule="auto" w:line="360" w:beforeAutospacing="1" w:afterAutospacing="1"/>
        <w:ind w:hanging="709" w:left="709"/>
        <w:jc w:val="both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jc w:val="both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pStyle w:val="P20"/>
        <w:spacing w:lineRule="auto" w:line="276"/>
        <w:jc w:val="both"/>
        <w:rPr>
          <w:rStyle w:val="C3"/>
          <w:sz w:val="24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spacing w:lineRule="auto" w:line="276" w:beforeAutospacing="1" w:afterAutospacing="1"/>
        <w:ind w:hanging="426" w:left="426"/>
        <w:jc w:val="both"/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POR </w:t>
      </w:r>
      <w:r>
        <w:rPr>
          <w:rStyle w:val="C3"/>
          <w:rFonts w:ascii="Courier New" w:hAnsi="Courier New"/>
        </w:rPr>
        <w:t>cada cuota actual abonada en término de Tasa por Servicios a la Propiedad, eximir cinco cuotas de la deuda que a la fecha de promulgación de la presente mantiene con el municipio en dicho concepto el inmueble Cuenta Nº 0028415</w:t>
      </w:r>
      <w:r>
        <w:t>.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 xml:space="preserve">LA </w:t>
      </w:r>
      <w:r>
        <w:rPr>
          <w:rStyle w:val="C3"/>
          <w:sz w:val="24"/>
        </w:rPr>
        <w:t>falta de pago de dos cuotas consecutivas o tres alternadas hará caducar el beneficio otorgado.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ind w:hanging="426" w:left="426"/>
        <w:jc w:val="both"/>
      </w:pPr>
      <w:r>
        <w:rPr>
          <w:rStyle w:val="C3"/>
          <w:b w:val="1"/>
          <w:sz w:val="24"/>
          <w:u w:val="single"/>
        </w:rPr>
        <w:t>Art.3</w:t>
      </w:r>
      <w:r>
        <w:rPr>
          <w:rStyle w:val="C3"/>
          <w:b w:val="1"/>
          <w:sz w:val="24"/>
        </w:rPr>
        <w:t>: DAR</w:t>
      </w:r>
      <w:r>
        <w:rPr>
          <w:rStyle w:val="C3"/>
          <w:sz w:val="24"/>
        </w:rPr>
        <w:t xml:space="preserve"> de baja</w:t>
      </w:r>
      <w:r>
        <w:rPr>
          <w:rStyle w:val="C3"/>
          <w:b w:val="1"/>
        </w:rPr>
        <w:t xml:space="preserve"> </w:t>
      </w:r>
      <w:r>
        <w:t>los períodos prescriptos.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t>.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Art.4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LOS VEINTIDOS DÍAS DEL MES DE ABRIL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5B634DDB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72528499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2614331B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047BC643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6129ACD7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63FC2227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31C06718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565F5390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55434265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735DDA9A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7ABE9FCA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6C2DDA59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244CC4CD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793058E7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43377D96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50E9E15A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7CC1713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7E03E2B7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18DDA8CA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6404979D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08B1168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571F68FD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76622881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DFEDFCC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376B95E9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4910B8B9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480DAA6A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5997F7B9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67D28621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447E47CE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435EE892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33FD2294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07E486F7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73B523F1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59562769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67173D83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0540322A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689245BF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553C40DB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3458A10D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71467E59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62422848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1F5F9683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1F195128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6BDB6382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245A29D3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0916D9FF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3CF51AC6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E7C6917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4D2424FC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6C299246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6040A923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1BE78579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2FBC1F30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17A37D16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0443E5DD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BF05C17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815534E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D103058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818F51D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BEE78BC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8286F5D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E8CCD6D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10C4FB97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2FFEF308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46C17E36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64495462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097A0DA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1FDA327E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5C204011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4BA9B02F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142F2C73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28C7A2DC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648507BB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2BE1943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E48E91F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7BFD37A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748D858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2237C48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3116D15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FF9DFBA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0B1890A4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5B1B8EA1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1AAE6224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5854B586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631E3F6D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18159E1A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582867C5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5C11A7DA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5512428B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6B26E16B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3D2ADEDA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1B821666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3D234CBD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186A2951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191E0FFB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73B55AD9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0E9A9BEB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6F1A5E1F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2519E64B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2013-04-23T12:36:00Z</dcterms:created>
  <cp:lastModifiedBy>Ethan Puglia</cp:lastModifiedBy>
  <cp:lastPrinted>2013-03-12T15:32:00Z</cp:lastPrinted>
  <dcterms:modified xsi:type="dcterms:W3CDTF">2019-03-28T17:33:10Z</dcterms:modified>
  <cp:revision>5</cp:revision>
  <dc:title>PROYECTO DE ORDENANZA VIOLENCIA FAMILIAR</dc:title>
</cp:coreProperties>
</file>