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3928936" Type="http://schemas.openxmlformats.org/officeDocument/2006/relationships/officeDocument" Target="/word/document.xml" /><Relationship Id="coreR7392893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center"/>
        <w:rPr>
          <w:rStyle w:val="C3"/>
          <w:rFonts w:ascii="JaneAusten" w:hAnsi="JaneAusten"/>
          <w:b w:val="1"/>
        </w:rPr>
      </w:pPr>
      <w:r>
        <w:rPr>
          <w:rStyle w:val="C3"/>
          <w:rFonts w:ascii="JaneAusten" w:hAnsi="JaneAusten"/>
          <w:b w:val="1"/>
        </w:rPr>
        <w:t>“2013 AÑO DEL TRIGÉSIMO ANIVERSARIO DE LA RECUPERACIÓN DE LA DEMOCRACIA”</w:t>
      </w:r>
    </w:p>
    <w:p>
      <w:pPr>
        <w:pStyle w:val="P4"/>
        <w:jc w:val="left"/>
        <w:rPr>
          <w:rStyle w:val="C3"/>
        </w:rPr>
      </w:pPr>
    </w:p>
    <w:p>
      <w:pPr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Nº9495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Los Expediente Nº 1290/11; 1291/11 y 1292/11 de Mensura Unión y Subdivisión de las manzanas afectadas al ex plan Hogar Clase Media; y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las manzanas mencionadas fueron destinadas para dar solución habitacional a un sector que centró sus expectativas en un plan de viviendas que no se concretó;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desde el inicio de esta gestión se encararon con firmeza las actuaciones necesarias para poder transferir a los beneficiarios del plan no concretado, los terrenos para que cada uno pudiera, contando con su terreno, lograr cumplir el sueño de la vivienda propia;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ya se han firmado los Boletos de compraventa y se continúan con los trámites para concretar las escrituraciones, habiéndose realizado las subdivisiones correspondientes;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algunos de los lotes resultantes de las subdivisiones realizadas no cumplen los frentes mínimos y/o las superficies mínimas establecidas en el art. 199 inc.3 de la Ordenanza Nº 8547;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los frentes mínimos y las superficies resultantes si bien no cumplimentan los mínimos establecidos por Ordenanza, no afectan al entorno urbanístico existente;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b w:val="1"/>
        </w:rPr>
      </w:pPr>
      <w:r>
        <w:rPr>
          <w:rStyle w:val="C3"/>
          <w:rFonts w:ascii="Courier New" w:hAnsi="Courier New"/>
        </w:rPr>
        <w:t>Que a tal fin se hace necesario contar con la aprobación de las subdivisiones realizadas por parte del Honorable Concejo Deliberante.</w:t>
      </w:r>
      <w:r>
        <w:rPr>
          <w:rStyle w:val="C3"/>
          <w:b w:val="1"/>
        </w:rPr>
        <w:t xml:space="preserve"> </w:t>
      </w:r>
    </w:p>
    <w:p>
      <w:pPr>
        <w:pStyle w:val="P11"/>
        <w:ind w:left="567"/>
        <w:jc w:val="right"/>
        <w:rPr>
          <w:rStyle w:val="C3"/>
          <w:b w:val="1"/>
        </w:rPr>
      </w:pPr>
      <w:r>
        <w:rPr>
          <w:rStyle w:val="C3"/>
          <w:b w:val="1"/>
        </w:rPr>
        <w:t>...///</w:t>
      </w:r>
    </w:p>
    <w:p>
      <w:pPr>
        <w:pStyle w:val="P11"/>
        <w:ind w:left="567"/>
        <w:jc w:val="right"/>
        <w:rPr>
          <w:rStyle w:val="C3"/>
          <w:b w:val="1"/>
        </w:rPr>
      </w:pPr>
    </w:p>
    <w:p>
      <w:pPr>
        <w:pStyle w:val="P11"/>
        <w:ind w:left="567"/>
        <w:jc w:val="right"/>
        <w:rPr>
          <w:rStyle w:val="C3"/>
          <w:b w:val="1"/>
        </w:rPr>
      </w:pPr>
    </w:p>
    <w:p>
      <w:pPr>
        <w:pStyle w:val="P11"/>
        <w:ind w:left="567"/>
        <w:jc w:val="right"/>
        <w:rPr>
          <w:rStyle w:val="C3"/>
          <w:b w:val="1"/>
        </w:rPr>
      </w:pPr>
    </w:p>
    <w:p>
      <w:pPr>
        <w:pStyle w:val="P11"/>
        <w:ind w:left="567"/>
        <w:jc w:val="right"/>
        <w:rPr>
          <w:rStyle w:val="C3"/>
          <w:b w:val="1"/>
        </w:rPr>
      </w:pPr>
    </w:p>
    <w:p>
      <w:pPr>
        <w:pStyle w:val="P11"/>
        <w:ind w:left="567"/>
        <w:jc w:val="right"/>
        <w:rPr>
          <w:rStyle w:val="C3"/>
          <w:b w:val="1"/>
        </w:rPr>
      </w:pPr>
    </w:p>
    <w:p>
      <w:pPr>
        <w:pStyle w:val="P11"/>
        <w:ind w:left="567"/>
        <w:jc w:val="right"/>
        <w:rPr>
          <w:rStyle w:val="C3"/>
          <w:b w:val="1"/>
        </w:rPr>
      </w:pPr>
    </w:p>
    <w:p>
      <w:pPr>
        <w:pStyle w:val="P11"/>
        <w:ind w:left="567"/>
        <w:jc w:val="right"/>
        <w:rPr>
          <w:rStyle w:val="C3"/>
          <w:b w:val="1"/>
        </w:rPr>
      </w:pPr>
    </w:p>
    <w:p>
      <w:pPr>
        <w:pStyle w:val="P11"/>
        <w:ind w:hanging="141" w:left="567"/>
        <w:jc w:val="left"/>
      </w:pPr>
      <w:r>
        <w:t>...///2.-</w:t>
      </w:r>
    </w:p>
    <w:p>
      <w:pPr>
        <w:pStyle w:val="P11"/>
        <w:ind w:hanging="141" w:left="567"/>
        <w:jc w:val="left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hanging="141" w:left="426"/>
        <w:rPr>
          <w:rStyle w:val="C3"/>
          <w:b w:val="1"/>
        </w:rPr>
      </w:pPr>
      <w:r>
        <w:t xml:space="preserve"> Que evaluado el Proyecto de Ordenanza elevado por el Departamento Ejecutivo en Sesión de fecha 3 de junio de 2013, se aprueba por unanimidad el mismo.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right"/>
        <w:rPr>
          <w:rStyle w:val="C3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APRUÉBASE </w:t>
      </w:r>
      <w:r>
        <w:rPr>
          <w:rStyle w:val="C3"/>
          <w:rFonts w:ascii="Courier New" w:hAnsi="Courier New"/>
          <w:b w:val="1"/>
        </w:rPr>
        <w:t>la</w:t>
      </w:r>
      <w:r>
        <w:rPr>
          <w:rStyle w:val="C3"/>
          <w:rFonts w:ascii="Courier New" w:hAnsi="Courier New"/>
        </w:rPr>
        <w:t xml:space="preserve"> Mensura, Unión y Subdivisión de la Manzana designada catastralmente 31-06-01-03-01-021, propiedad de la Municipalidad de Alta Gracia, sin el cumplimiento del art. 199 inc.3 de la Ordenanza Nº 8547 y todo conforme al plano que obra a fs. 3 del expediente Nº 1290/11. 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APRUÉBASE </w:t>
      </w:r>
      <w:r>
        <w:rPr>
          <w:rStyle w:val="C3"/>
          <w:rFonts w:ascii="Courier New" w:hAnsi="Courier New"/>
        </w:rPr>
        <w:t>la Mensura, Unión y Subdivisión de la Manzana designada catastralmente 31-06-01-03-01-026, propiedad de la Municipalidad de Alta Gracia, sin el cumplimiento del art. 199 inc.3 de la Ordenanza Nº 8547 y todo conforme al plano que obra a fs. 3 del expediente Nº 1291/11.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APRUÉBASE </w:t>
      </w:r>
      <w:r>
        <w:rPr>
          <w:rStyle w:val="C3"/>
          <w:rFonts w:ascii="Courier New" w:hAnsi="Courier New"/>
        </w:rPr>
        <w:t>la Mensura, Unión y Subdivisión de la Manzana designada catastralmente 31-06-01-03-01-001, propiedad de la Municipalidad de Alta Gracia, sin el cumplimiento del art. 199 inc.3 de la Ordenanza Nº 8547 y todo conforme al plano que obra a fs. 3 del expediente Nº 1292/11.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</w:pPr>
      <w:r>
        <w:t>DADA EN LA SALA DE SESIONES DEL HONORABLE CONCEJO DELIBERANTE A LOS TRES DÍAS DEL MES DE JUNIO DEL AÑO DOS MIL TRECE.-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4F1EEB7B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846143A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5352FB1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3F6B225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E833201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79E90D5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A206694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1BBF8BC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D7FB0C8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385DEB8C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102F171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194E82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DA2E32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A3983C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4EAE14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9B3513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C79A3A2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C296B1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29872A88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0BB0F8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B3E0CE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235FEE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F2DC97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88FAED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480E25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3D151D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14BCDF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3194A37B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2013-06-04T13:01:00Z</dcterms:created>
  <cp:lastModifiedBy>Ethan Puglia</cp:lastModifiedBy>
  <cp:lastPrinted>2013-05-31T16:26:00Z</cp:lastPrinted>
  <dcterms:modified xsi:type="dcterms:W3CDTF">2019-03-28T17:33:11Z</dcterms:modified>
  <cp:revision>5</cp:revision>
  <dc:title>PROYECTO DE ORDENANZA VIOLENCIA FAMILIAR</dc:title>
</cp:coreProperties>
</file>