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6BA19BB" Type="http://schemas.openxmlformats.org/officeDocument/2006/relationships/officeDocument" Target="/word/document.xml" /><Relationship Id="coreR46BA19B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9513</w:t>
      </w:r>
    </w:p>
    <w:p/>
    <w:p/>
    <w:p>
      <w:pPr>
        <w:ind w:hanging="426" w:left="426"/>
        <w:jc w:val="both"/>
        <w:rPr>
          <w:rStyle w:val="C3"/>
          <w:rFonts w:ascii="Courier New" w:hAnsi="Courier New"/>
        </w:rPr>
      </w:pPr>
      <w:r>
        <w:rPr>
          <w:rStyle w:val="C3"/>
          <w:rFonts w:ascii="Courier New" w:hAnsi="Courier New"/>
        </w:rPr>
        <w:t>Visto: La Ordenanza Nº 9233 que establece el Régimen General de Contabilidad y Contrataciones; y</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 xml:space="preserve">Que la Ordenanza mencionada se sancionó con el objetivo  de contar con una norma clara y precisa que regule la forma de contratar por parte del Estado Municipal;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asimismo permite, bajo la responsabilidad del Departamento Ejecutivo, utilizar el mecanismo de contratación directa bajo ciertas condiciones;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el art. 99 que regula esta forma de contratación, de acuerdo al uso, requiere de una modificación para dotar de mayor celeridad la compra de determinados elementos o la contratación de determinados servicios indispensables para el desarrollo del accionar del estado y la difusión de sus actos;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asimismo este Concejo cree oportuno avalar actos emanados del Departamento Ejecutivo utilizando el mecanismo de contratación directa, de acuerdo a lo establecido en el art. 99 de la Ordenanza Nº 9233 y que fueran cuestionados por un miembro del Tribunal de Cuentas al momento de dictaminar sobre la Cuenta General del Ejercicio, cuando en su momento no fueron observados o rechazados;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evaluado el Proyecto de Ordenanza presentado por el bloque de Unión por Córdoba, por el Concejo constituido en Comisión, se emiten tres despachos, aprobándose por mayoría en sesión del día 17 de junio de 2013, el despacho favorable. </w:t>
      </w: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w:t>
      </w:r>
      <w:r>
        <w:rPr>
          <w:rStyle w:val="C3"/>
          <w:b w:val="1"/>
        </w:rPr>
        <w:t xml:space="preserve"> </w:t>
      </w:r>
      <w:r>
        <w:rPr>
          <w:rStyle w:val="C3"/>
          <w:b w:val="1"/>
        </w:rPr>
        <w:t>SANCIONA CON FUERZA DE ORDENANZA</w:t>
      </w:r>
    </w:p>
    <w:p>
      <w:pPr>
        <w:pStyle w:val="P11"/>
        <w:jc w:val="right"/>
        <w:rPr>
          <w:rStyle w:val="C3"/>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MODIFICAR</w:t>
      </w:r>
      <w:r>
        <w:rPr>
          <w:rStyle w:val="C3"/>
          <w:rFonts w:ascii="Courier New" w:hAnsi="Courier New"/>
          <w:b w:val="1"/>
        </w:rPr>
        <w:t xml:space="preserve"> </w:t>
      </w:r>
      <w:r>
        <w:rPr>
          <w:rStyle w:val="C3"/>
          <w:rFonts w:ascii="Courier New" w:hAnsi="Courier New"/>
        </w:rPr>
        <w:t>el artículo 99 de la Ordenanza Nº 9421, en sus incisos h) y k) los que quedarán redactados de la siguiente manera: “</w:t>
      </w:r>
      <w:r>
        <w:rPr>
          <w:rStyle w:val="C3"/>
          <w:rFonts w:ascii="Courier New" w:hAnsi="Courier New"/>
          <w:b w:val="1"/>
          <w:u w:val="single"/>
        </w:rPr>
        <w:t>Art.</w:t>
      </w:r>
      <w:r>
        <w:rPr>
          <w:rStyle w:val="C3"/>
          <w:rFonts w:ascii="Courier New" w:hAnsi="Courier New"/>
          <w:b w:val="1"/>
          <w:u w:val="single"/>
        </w:rPr>
        <w:t>99</w:t>
      </w:r>
      <w:r>
        <w:rPr>
          <w:rStyle w:val="C3"/>
          <w:rFonts w:ascii="Courier New" w:hAnsi="Courier New"/>
          <w:b w:val="1"/>
        </w:rPr>
        <w:t>:</w:t>
      </w:r>
      <w:r>
        <w:rPr>
          <w:rStyle w:val="C3"/>
          <w:rFonts w:ascii="Courier New" w:hAnsi="Courier New"/>
          <w:b w:val="1"/>
        </w:rPr>
        <w:t>....h)</w:t>
      </w:r>
      <w:r>
        <w:rPr>
          <w:rStyle w:val="C3"/>
          <w:rFonts w:ascii="Courier New" w:hAnsi="Courier New"/>
        </w:rPr>
        <w:t xml:space="preserve"> Cuando se trate de la adquisición de cemento portland, cal, áridos, chapas para techos, hierros, sanitarios, materiales para reparación de instalaciones sanitarias, de agua potable y gas domiciliario a sus fabricantes o distribuidores, previo cotejo de precios.....</w:t>
      </w:r>
      <w:r>
        <w:rPr>
          <w:rStyle w:val="C3"/>
          <w:rFonts w:ascii="Courier New" w:hAnsi="Courier New"/>
          <w:b w:val="1"/>
        </w:rPr>
        <w:t xml:space="preserve">k) </w:t>
      </w:r>
      <w:r>
        <w:rPr>
          <w:rStyle w:val="C3"/>
          <w:rFonts w:ascii="Courier New" w:hAnsi="Courier New"/>
        </w:rPr>
        <w:t>Cuando se trate de dar publicidad oficial de actos administrativos y de gobierno para conocimiento y participación de la ciudadanía.”</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DECLÁRASE </w:t>
      </w:r>
      <w:r>
        <w:rPr>
          <w:rStyle w:val="C3"/>
          <w:rFonts w:ascii="Courier New" w:hAnsi="Courier New"/>
        </w:rPr>
        <w:t>aprobada toda contratación directa realizada por el Departamento Ejecutivo, que habiendo tomado conocimiento en cualquiera de sus etapas por parte del Tribunal de Cuentas, no haya sido objeto de rechazo expreso y definitivo por el mismo.</w:t>
      </w:r>
    </w:p>
    <w:p>
      <w:pPr>
        <w:ind w:hanging="426" w:left="426"/>
        <w:jc w:val="both"/>
        <w:rPr>
          <w:rStyle w:val="C3"/>
          <w:rFonts w:ascii="Courier New" w:hAnsi="Courier New"/>
        </w:rPr>
      </w:pPr>
      <w:r>
        <w:rPr>
          <w:rStyle w:val="C3"/>
          <w:rFonts w:ascii="Courier New" w:hAnsi="Courier New"/>
        </w:rPr>
        <w:t xml:space="preserve"> </w:t>
      </w:r>
      <w:r>
        <w:rPr>
          <w:rStyle w:val="C3"/>
          <w:rFonts w:ascii="Courier New" w:hAnsi="Courier New"/>
          <w:b w:val="1"/>
        </w:rPr>
        <w:t xml:space="preserve"> </w:t>
      </w:r>
      <w:r>
        <w:rPr>
          <w:rStyle w:val="C3"/>
          <w:rFonts w:ascii="Courier New" w:hAnsi="Courier New"/>
        </w:rPr>
        <w:t xml:space="preserve"> </w:t>
      </w: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DADA EN LA SALA DE SESIONES DEL HONORABLE CONCEJO DELIBERANTE A LOS DIECISIETE DÍAS DEL MES DE JUNIO DEL AÑO DOS MIL TRECE.-</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421A33BF">
      <w:start w:val="0"/>
      <w:numFmt w:val="bullet"/>
      <w:suff w:val="tab"/>
      <w:lvlText w:val=""/>
      <w:lvlJc w:val="left"/>
      <w:pPr>
        <w:ind w:hanging="360" w:left="927"/>
      </w:pPr>
      <w:rPr>
        <w:rFonts w:ascii="Symbol" w:hAnsi="Symbol"/>
      </w:rPr>
    </w:lvl>
    <w:lvl w:ilvl="1" w:tplc="0F49D15D">
      <w:start w:val="1"/>
      <w:numFmt w:val="bullet"/>
      <w:suff w:val="tab"/>
      <w:lvlText w:val="o"/>
      <w:lvlJc w:val="left"/>
      <w:pPr>
        <w:ind w:hanging="360" w:left="1647"/>
      </w:pPr>
      <w:rPr>
        <w:rFonts w:ascii="Courier New" w:hAnsi="Courier New"/>
      </w:rPr>
    </w:lvl>
    <w:lvl w:ilvl="2" w:tplc="5EAAB875">
      <w:start w:val="1"/>
      <w:numFmt w:val="bullet"/>
      <w:suff w:val="tab"/>
      <w:lvlText w:val=""/>
      <w:lvlJc w:val="left"/>
      <w:pPr>
        <w:ind w:hanging="360" w:left="2367"/>
      </w:pPr>
      <w:rPr>
        <w:rFonts w:ascii="Wingdings" w:hAnsi="Wingdings"/>
      </w:rPr>
    </w:lvl>
    <w:lvl w:ilvl="3" w:tplc="3F2BB425">
      <w:start w:val="1"/>
      <w:numFmt w:val="bullet"/>
      <w:suff w:val="tab"/>
      <w:lvlText w:val=""/>
      <w:lvlJc w:val="left"/>
      <w:pPr>
        <w:ind w:hanging="360" w:left="3087"/>
      </w:pPr>
      <w:rPr>
        <w:rFonts w:ascii="Symbol" w:hAnsi="Symbol"/>
      </w:rPr>
    </w:lvl>
    <w:lvl w:ilvl="4" w:tplc="7600CDA4">
      <w:start w:val="1"/>
      <w:numFmt w:val="bullet"/>
      <w:suff w:val="tab"/>
      <w:lvlText w:val="o"/>
      <w:lvlJc w:val="left"/>
      <w:pPr>
        <w:ind w:hanging="360" w:left="3807"/>
      </w:pPr>
      <w:rPr>
        <w:rFonts w:ascii="Courier New" w:hAnsi="Courier New"/>
      </w:rPr>
    </w:lvl>
    <w:lvl w:ilvl="5" w:tplc="4CAF5D06">
      <w:start w:val="1"/>
      <w:numFmt w:val="bullet"/>
      <w:suff w:val="tab"/>
      <w:lvlText w:val=""/>
      <w:lvlJc w:val="left"/>
      <w:pPr>
        <w:ind w:hanging="360" w:left="4527"/>
      </w:pPr>
      <w:rPr>
        <w:rFonts w:ascii="Wingdings" w:hAnsi="Wingdings"/>
      </w:rPr>
    </w:lvl>
    <w:lvl w:ilvl="6" w:tplc="288A208E">
      <w:start w:val="1"/>
      <w:numFmt w:val="bullet"/>
      <w:suff w:val="tab"/>
      <w:lvlText w:val=""/>
      <w:lvlJc w:val="left"/>
      <w:pPr>
        <w:ind w:hanging="360" w:left="5247"/>
      </w:pPr>
      <w:rPr>
        <w:rFonts w:ascii="Symbol" w:hAnsi="Symbol"/>
      </w:rPr>
    </w:lvl>
    <w:lvl w:ilvl="7" w:tplc="25D31860">
      <w:start w:val="1"/>
      <w:numFmt w:val="bullet"/>
      <w:suff w:val="tab"/>
      <w:lvlText w:val="o"/>
      <w:lvlJc w:val="left"/>
      <w:pPr>
        <w:ind w:hanging="360" w:left="5967"/>
      </w:pPr>
      <w:rPr>
        <w:rFonts w:ascii="Courier New" w:hAnsi="Courier New"/>
      </w:rPr>
    </w:lvl>
    <w:lvl w:ilvl="8" w:tplc="058D3DB3">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494578E7">
      <w:start w:val="0"/>
      <w:numFmt w:val="bullet"/>
      <w:suff w:val="tab"/>
      <w:lvlText w:val="-"/>
      <w:lvlJc w:val="left"/>
      <w:pPr>
        <w:ind w:hanging="360" w:left="720"/>
        <w:tabs>
          <w:tab w:val="left" w:pos="720" w:leader="none"/>
        </w:tabs>
      </w:pPr>
      <w:rPr>
        <w:rFonts w:ascii="Times New Roman" w:hAnsi="Times New Roman"/>
      </w:rPr>
    </w:lvl>
    <w:lvl w:ilvl="1" w:tplc="1ABCF940">
      <w:start w:val="1"/>
      <w:numFmt w:val="bullet"/>
      <w:suff w:val="tab"/>
      <w:lvlText w:val="o"/>
      <w:lvlJc w:val="left"/>
      <w:pPr>
        <w:ind w:hanging="360" w:left="1440"/>
        <w:tabs>
          <w:tab w:val="left" w:pos="1440" w:leader="none"/>
        </w:tabs>
      </w:pPr>
      <w:rPr>
        <w:rFonts w:ascii="Courier New" w:hAnsi="Courier New"/>
      </w:rPr>
    </w:lvl>
    <w:lvl w:ilvl="2" w:tplc="70201C71">
      <w:start w:val="1"/>
      <w:numFmt w:val="bullet"/>
      <w:suff w:val="tab"/>
      <w:lvlText w:val=""/>
      <w:lvlJc w:val="left"/>
      <w:pPr>
        <w:ind w:hanging="360" w:left="2160"/>
        <w:tabs>
          <w:tab w:val="left" w:pos="2160" w:leader="none"/>
        </w:tabs>
      </w:pPr>
      <w:rPr>
        <w:rFonts w:ascii="Wingdings" w:hAnsi="Wingdings"/>
      </w:rPr>
    </w:lvl>
    <w:lvl w:ilvl="3" w:tplc="7E2CCDDB">
      <w:start w:val="1"/>
      <w:numFmt w:val="bullet"/>
      <w:suff w:val="tab"/>
      <w:lvlText w:val=""/>
      <w:lvlJc w:val="left"/>
      <w:pPr>
        <w:ind w:hanging="360" w:left="2880"/>
        <w:tabs>
          <w:tab w:val="left" w:pos="2880" w:leader="none"/>
        </w:tabs>
      </w:pPr>
      <w:rPr>
        <w:rFonts w:ascii="Symbol" w:hAnsi="Symbol"/>
      </w:rPr>
    </w:lvl>
    <w:lvl w:ilvl="4" w:tplc="4D09F876">
      <w:start w:val="1"/>
      <w:numFmt w:val="bullet"/>
      <w:suff w:val="tab"/>
      <w:lvlText w:val="o"/>
      <w:lvlJc w:val="left"/>
      <w:pPr>
        <w:ind w:hanging="360" w:left="3600"/>
        <w:tabs>
          <w:tab w:val="left" w:pos="3600" w:leader="none"/>
        </w:tabs>
      </w:pPr>
      <w:rPr>
        <w:rFonts w:ascii="Courier New" w:hAnsi="Courier New"/>
      </w:rPr>
    </w:lvl>
    <w:lvl w:ilvl="5" w:tplc="4BAAA968">
      <w:start w:val="1"/>
      <w:numFmt w:val="bullet"/>
      <w:suff w:val="tab"/>
      <w:lvlText w:val=""/>
      <w:lvlJc w:val="left"/>
      <w:pPr>
        <w:ind w:hanging="360" w:left="4320"/>
        <w:tabs>
          <w:tab w:val="left" w:pos="4320" w:leader="none"/>
        </w:tabs>
      </w:pPr>
      <w:rPr>
        <w:rFonts w:ascii="Wingdings" w:hAnsi="Wingdings"/>
      </w:rPr>
    </w:lvl>
    <w:lvl w:ilvl="6" w:tplc="0DAFEAA2">
      <w:start w:val="1"/>
      <w:numFmt w:val="bullet"/>
      <w:suff w:val="tab"/>
      <w:lvlText w:val=""/>
      <w:lvlJc w:val="left"/>
      <w:pPr>
        <w:ind w:hanging="360" w:left="5040"/>
        <w:tabs>
          <w:tab w:val="left" w:pos="5040" w:leader="none"/>
        </w:tabs>
      </w:pPr>
      <w:rPr>
        <w:rFonts w:ascii="Symbol" w:hAnsi="Symbol"/>
      </w:rPr>
    </w:lvl>
    <w:lvl w:ilvl="7" w:tplc="3E29C11B">
      <w:start w:val="1"/>
      <w:numFmt w:val="bullet"/>
      <w:suff w:val="tab"/>
      <w:lvlText w:val="o"/>
      <w:lvlJc w:val="left"/>
      <w:pPr>
        <w:ind w:hanging="360" w:left="5760"/>
        <w:tabs>
          <w:tab w:val="left" w:pos="5760" w:leader="none"/>
        </w:tabs>
      </w:pPr>
      <w:rPr>
        <w:rFonts w:ascii="Courier New" w:hAnsi="Courier New"/>
      </w:rPr>
    </w:lvl>
    <w:lvl w:ilvl="8" w:tplc="0B4642EA">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537BDF7E">
      <w:start w:val="1"/>
      <w:numFmt w:val="bullet"/>
      <w:suff w:val="tab"/>
      <w:lvlText w:val=""/>
      <w:lvlJc w:val="left"/>
      <w:pPr>
        <w:ind w:hanging="360" w:left="720"/>
        <w:tabs>
          <w:tab w:val="left" w:pos="720" w:leader="none"/>
        </w:tabs>
      </w:pPr>
      <w:rPr>
        <w:rFonts w:ascii="Symbol" w:hAnsi="Symbol"/>
      </w:rPr>
    </w:lvl>
    <w:lvl w:ilvl="1" w:tplc="154CC153">
      <w:start w:val="1"/>
      <w:numFmt w:val="bullet"/>
      <w:suff w:val="tab"/>
      <w:lvlText w:val="o"/>
      <w:lvlJc w:val="left"/>
      <w:pPr>
        <w:ind w:hanging="360" w:left="1440"/>
        <w:tabs>
          <w:tab w:val="left" w:pos="1440" w:leader="none"/>
        </w:tabs>
      </w:pPr>
      <w:rPr>
        <w:rFonts w:ascii="Courier New" w:hAnsi="Courier New"/>
      </w:rPr>
    </w:lvl>
    <w:lvl w:ilvl="2" w:tplc="37441388">
      <w:start w:val="1"/>
      <w:numFmt w:val="bullet"/>
      <w:suff w:val="tab"/>
      <w:lvlText w:val=""/>
      <w:lvlJc w:val="left"/>
      <w:pPr>
        <w:ind w:hanging="360" w:left="2160"/>
        <w:tabs>
          <w:tab w:val="left" w:pos="2160" w:leader="none"/>
        </w:tabs>
      </w:pPr>
      <w:rPr>
        <w:rFonts w:ascii="Wingdings" w:hAnsi="Wingdings"/>
      </w:rPr>
    </w:lvl>
    <w:lvl w:ilvl="3" w:tplc="5D1D8CCA">
      <w:start w:val="1"/>
      <w:numFmt w:val="bullet"/>
      <w:suff w:val="tab"/>
      <w:lvlText w:val=""/>
      <w:lvlJc w:val="left"/>
      <w:pPr>
        <w:ind w:hanging="360" w:left="2880"/>
        <w:tabs>
          <w:tab w:val="left" w:pos="2880" w:leader="none"/>
        </w:tabs>
      </w:pPr>
      <w:rPr>
        <w:rFonts w:ascii="Symbol" w:hAnsi="Symbol"/>
      </w:rPr>
    </w:lvl>
    <w:lvl w:ilvl="4" w:tplc="46AC2796">
      <w:start w:val="1"/>
      <w:numFmt w:val="bullet"/>
      <w:suff w:val="tab"/>
      <w:lvlText w:val="o"/>
      <w:lvlJc w:val="left"/>
      <w:pPr>
        <w:ind w:hanging="360" w:left="3600"/>
        <w:tabs>
          <w:tab w:val="left" w:pos="3600" w:leader="none"/>
        </w:tabs>
      </w:pPr>
      <w:rPr>
        <w:rFonts w:ascii="Courier New" w:hAnsi="Courier New"/>
      </w:rPr>
    </w:lvl>
    <w:lvl w:ilvl="5" w:tplc="574D4D87">
      <w:start w:val="1"/>
      <w:numFmt w:val="bullet"/>
      <w:suff w:val="tab"/>
      <w:lvlText w:val=""/>
      <w:lvlJc w:val="left"/>
      <w:pPr>
        <w:ind w:hanging="360" w:left="4320"/>
        <w:tabs>
          <w:tab w:val="left" w:pos="4320" w:leader="none"/>
        </w:tabs>
      </w:pPr>
      <w:rPr>
        <w:rFonts w:ascii="Wingdings" w:hAnsi="Wingdings"/>
      </w:rPr>
    </w:lvl>
    <w:lvl w:ilvl="6" w:tplc="6FDB2CD6">
      <w:start w:val="1"/>
      <w:numFmt w:val="bullet"/>
      <w:suff w:val="tab"/>
      <w:lvlText w:val=""/>
      <w:lvlJc w:val="left"/>
      <w:pPr>
        <w:ind w:hanging="360" w:left="5040"/>
        <w:tabs>
          <w:tab w:val="left" w:pos="5040" w:leader="none"/>
        </w:tabs>
      </w:pPr>
      <w:rPr>
        <w:rFonts w:ascii="Symbol" w:hAnsi="Symbol"/>
      </w:rPr>
    </w:lvl>
    <w:lvl w:ilvl="7" w:tplc="77CF8A58">
      <w:start w:val="1"/>
      <w:numFmt w:val="bullet"/>
      <w:suff w:val="tab"/>
      <w:lvlText w:val="o"/>
      <w:lvlJc w:val="left"/>
      <w:pPr>
        <w:ind w:hanging="360" w:left="5760"/>
        <w:tabs>
          <w:tab w:val="left" w:pos="5760" w:leader="none"/>
        </w:tabs>
      </w:pPr>
      <w:rPr>
        <w:rFonts w:ascii="Courier New" w:hAnsi="Courier New"/>
      </w:rPr>
    </w:lvl>
    <w:lvl w:ilvl="8" w:tplc="399E6F3D">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00B395C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2013-06-18T13:54:00Z</dcterms:created>
  <cp:lastModifiedBy>Ethan Puglia</cp:lastModifiedBy>
  <cp:lastPrinted>2013-06-06T15:40:00Z</cp:lastPrinted>
  <dcterms:modified xsi:type="dcterms:W3CDTF">2019-03-28T17:33:11Z</dcterms:modified>
  <cp:revision>7</cp:revision>
  <dc:title>PROYECTO DE ORDENANZA VIOLENCIA FAMILIAR</dc:title>
</cp:coreProperties>
</file>