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991070" Type="http://schemas.openxmlformats.org/officeDocument/2006/relationships/officeDocument" Target="/word/document.xml" /><Relationship Id="coreR2B9910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rPr>
          <w:rStyle w:val="C3"/>
        </w:rPr>
      </w:pPr>
    </w:p>
    <w:p>
      <w:pPr>
        <w:pStyle w:val="P4"/>
        <w:spacing w:lineRule="auto" w:line="276"/>
      </w:pPr>
      <w:r>
        <w:t>ORDENANZA Nº 9517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Ordenanza N° 9271;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prioridad de esta gestión seguir apoyando el continuo crecimiento del Consejo Municipal de Niños, Niñas y Adolescentes;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de vital importancia la participación de los distintos sectores de la sociedad como así también de las diferentes áreas que componen la estructura municipal a los fines de que cuenten con el respaldo técnico y jurídico correspondiente;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de Ordenanza en sesión de fecha 1º de julio de 2013, el mismo se aprueba por unanimidad.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MODIF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 xml:space="preserve">CASE </w:t>
      </w:r>
      <w:r>
        <w:rPr>
          <w:rStyle w:val="C3"/>
          <w:rFonts w:ascii="Courier New" w:hAnsi="Courier New"/>
        </w:rPr>
        <w:t>el art. 7 inc. a de la Ordenanza Nº9271, que quedará redactado de la siguiente manera: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</w:rPr>
        <w:t>“</w:t>
      </w: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</w:rPr>
        <w:t>: EL Consejo Municipal de Niñez y Adolescencia estará integrado de la siguiente manera: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  a)</w:t>
        <w:tab/>
      </w:r>
      <w:r>
        <w:rPr>
          <w:rStyle w:val="C3"/>
          <w:rFonts w:ascii="Courier New" w:hAnsi="Courier New"/>
          <w:b w:val="1"/>
        </w:rPr>
        <w:t>Sector Público</w:t>
      </w:r>
      <w:r>
        <w:rPr>
          <w:rStyle w:val="C3"/>
          <w:rFonts w:ascii="Courier New" w:hAnsi="Courier New"/>
        </w:rPr>
        <w:t xml:space="preserve">: El Intendente de la Ciudad de    Alta Gracia o la persona que él designe  y un representante por cada Secretaria, con un máximo de cinco (5), de aquellas áreas que tengan vinculación con la promoción de los derechos de las niñas, niños y adolescentes. Además un (1) representante del Área Municipal o Local responsable de manera específica de políticas públicas de niñez, adolescencia y familia, un (1) representante del área de Asesoría Letrada y un (1) representante del Tribunal de Cuentas Municipal. Un (1) concejal por cada bloque del Concejo Deliberante.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UN DÍA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54ECD8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2A6A0A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10F830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C35664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A9FA5D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0EB14C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A70D42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7AD4F8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953DE9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6D753B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70746F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EBA7A7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EA197B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AE8DAC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3821F0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1622FD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B20556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3DDBD1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C9B29F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0681F8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36406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7822F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F6DEC1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9E67EF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66FB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6F50E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3E7FF7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224389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903F33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C62DCD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D7E876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98B4C1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A463A1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013EEF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FFC32B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C07EEC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03F706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29BAD4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A84AD5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7A38CC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2D8840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6EC2E8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8830E2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17789E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5C4C3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7ECB9B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16E6A3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571FD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581DA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75C86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EF24F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0E804E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7D563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273BC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18013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CD6AA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38B59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29040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1CE6A8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3054E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03155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4C9C8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A95D4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CF101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958CD5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D7BFA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74405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8DA9C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ECA81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77A303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122BF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884A81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9590FC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4F79E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8F9C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4A12E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F515C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F6622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21BB9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7A42F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00E7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C90DF9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CCC1AF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C8E2AC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A73B7E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C96837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60DF5D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C1EFF4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93DBB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325892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8CF3A3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9166D5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0CD43C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B54586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AA0776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A8BE88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842D13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B920C7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81EBD8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848C87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2013-07-02T14:10:00Z</dcterms:created>
  <cp:lastModifiedBy>Ethan Puglia</cp:lastModifiedBy>
  <cp:lastPrinted>2013-05-29T16:53:00Z</cp:lastPrinted>
  <dcterms:modified xsi:type="dcterms:W3CDTF">2019-03-28T17:33:11Z</dcterms:modified>
  <cp:revision>6</cp:revision>
  <dc:title>PROYECTO DE ORDENANZA VIOLENCIA FAMILIAR</dc:title>
</cp:coreProperties>
</file>