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C72CC75" Type="http://schemas.openxmlformats.org/officeDocument/2006/relationships/officeDocument" Target="/word/document.xml" /><Relationship Id="coreR1C72CC7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9520</w:t>
      </w:r>
    </w:p>
    <w:p>
      <w:pPr>
        <w:spacing w:lineRule="auto" w:line="27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221/11, iniciado por Lucero Carlos, solicitando la excepción al Código de Edificación; y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fs.4 la Oficina de Catastro informa que el lote en cuestión tiene la siguiente designación catastral: 1-1-155-009-lote 18 a – Mz. Of. 0 – Cuenta 639 - a nombre de De Mula Pedro Andrés;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7 el Área de Obras Privadas informa “que tomando como uso del suelo la Zona Residencial Norte, la Ordenanza 8547 - Art.191 dice que, con respecto a la Ocupación del Suelo, el proyecto no cumple el FOS:72% (permitido 60%), no cumple el FOT: 1,37% (permitido 1.20%) y con respecto a los retiros Mínimos de frentes en lotes con frentes a dos calles, no cumple lado menor (vice intendente Jorge Nahal) 0;00 m (permitido 3;00m), no cumple ochava 0,20 m(permitido 3;00 m), no cumple lado mayor 0,30 m (permitido 1,50m)”;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 11 el Área de Planeamiento informa que es factible la excepción ya que: con respecto a los Retiros Mínimos se debe aplicar el Art. 141 del Código Urbanístico, Titulo 2- Capitulo 4 - Sección 2, en el cual por parcela inferior (160 m2) al mínimo normado (360 m2) los retiros están autorizados; y que con respecto a la Ocupación del suelo y teniendo en cuenta </w:t>
      </w:r>
    </w:p>
    <w:p>
      <w:pPr>
        <w:spacing w:lineRule="auto" w:line="276" w:beforeAutospacing="1" w:afterAutospacing="1"/>
        <w:ind w:left="709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Art. 126 del Código Urbanístico, Titulo 2 - Capitulo 4 - Sección 1 que dice”…… se admitirá una tolerancia de hasta un 10% al valor normado……..” el excedente de los índices es mínimo FOS: 72% (permitido 66%) y el FOT: 1,37% (permitido 1.32%);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 13 la Secretaria de Obras y Servicios Públicos informa que considera viable otorgar la excepción solicitada, ya que los valores del proyecto exceden en un pequeño porcentaje a los máximos permitidos, no afectando al entorno urbanístico existente; 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 Expediente de referencia por la Comisión de Obras y Servicios Públicos la misma emite despacho por unanimidad, aprobado en sesión de fecha 1 de julio de 2013.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AUTORIZAR </w:t>
      </w:r>
      <w:r>
        <w:rPr>
          <w:rStyle w:val="C3"/>
          <w:rFonts w:ascii="Courier New" w:hAnsi="Courier New"/>
        </w:rPr>
        <w:t>la construcción solicitada mediante expediente Nº 221/11, en el inmueble designación catastral 1-1-155-009 - lote 18 a – Mz. Of. 0 – Cuenta 639 sin el cumplimiento del art. 191 de la Ordenanza Nº 8547.</w:t>
      </w: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UN DÍA DEL MES DE JULIO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40100BC2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390072C8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6E8D3EE2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4E7DB5B4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D8415F6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57F29E52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7194C26A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2C3B6B51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1028FA5F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27127C43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611CB2FA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1089BC3E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5DC86595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2557AD65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68B3D07F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4471272C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6C1B1D1B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374632DF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34F9C955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730BBE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4F8452E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D514F6A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C39D596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54FF1F5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DC176F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5F8A69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055A7E5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4C927969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7C3F2546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117AD48A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0B57DF0C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3EA0DFB0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6C86959D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70DC31C9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78D7D601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13656F89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42A3910F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7C31331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0B87FF1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A77E99C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BA35F03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E473478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363DFBB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C161CF9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6AC6C13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4FE1F91E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29C3614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C32F15E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878F1FA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76C1BBC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12115F3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6E49C12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A7B5F1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E6F9F54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111616D0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2BEBC5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CC69D3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93D4DE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0BC3EC1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78B705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79CF76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5024A0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FFC460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7EAE25D4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BBA9E37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27BD44A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403269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CEC33CB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C7FD763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54E61F6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1CD971C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4580AEA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768DB2EC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A81E0B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B8D5CE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6B111B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9ED70A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023B89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EA385E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DDF7ED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35C718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1422B786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2419886F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04D30A8A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059BF96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147342F9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54258090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5E16F749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5FC61BF8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26191AA9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269ED256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09664422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706D46E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292D1095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72DAF22E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46A11602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6E4AEE6D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4B5B9E5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605B7FC2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143098C9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2013-07-02T14:43:00Z</dcterms:created>
  <cp:lastModifiedBy>Ethan Puglia</cp:lastModifiedBy>
  <cp:lastPrinted>2013-07-02T16:11:00Z</cp:lastPrinted>
  <dcterms:modified xsi:type="dcterms:W3CDTF">2019-03-28T17:33:11Z</dcterms:modified>
  <cp:revision>8</cp:revision>
  <dc:title>PROYECTO DE ORDENANZA VIOLENCIA FAMILIAR</dc:title>
</cp:coreProperties>
</file>