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A9AC38" Type="http://schemas.openxmlformats.org/officeDocument/2006/relationships/officeDocument" Target="/word/document.xml" /><Relationship Id="coreR17A9AC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674/12, iniciado por González Escribano Juan José y otros, solicitando visar las dos (2)  previas que se adjuntan al expediente;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</w:rPr>
        <w:t>Que a fs.4 el Asesor Patrimonial, Arq. Gustavo Ceballos nos dice que es un inmueble inventariado, valor Patrimonial Nº 263a, correspondiente al Área de Segundo Orden.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06 la Oficina de Catastro informa que el lote en cuestión tiene la siguiente designación catastral: 1-1-083-029 – P.H. 1-2 - Lote F 1 - Mz. Of. 2 – Cuenta 29184(PH1)/ 29185(PH2),  ubicado en calle  Urquiza Nº 90 esquina Mateo Beres, a nombre de Perez Escribano y Román Escribano (PH1) / Martinez Noelia A. y otros (PH2);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7 a 11 se adjunta: informes dominial  y conformidad de los propietarios  de la PH1 y de la  PH2 a realizar la ampliación;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12  el Área de  Obras Privadas informa  que según lo establecido por la Ordenanza Nº 8547 en el Art. 190 para la Zona Central, Institucional, Administrativa y Comercial, con respecto al Uso del Suelo, prevé como Usos Condicionados de la zona, los Servicios Recreativos, definidos en el Art. Nº 121 inc. c, que hace mención a la prestación de Servicios  de Pequeña Escala (superficie cubierta total hasta 300 m2), destinados a actividades de ocio, relación social y actividades asociadas;  siendo  el  proyecto presentado,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superior en superficie a lo autorizado, deberá contemplarse como Servicios Recreativos  de Mediana y Gran Escala (establecimientos cuya superficie cubierta total es superior a 300 m2), el cual excede lo normado; que el proyecto de construcción no cumple los requisitos establecidos por la Ordenanza Nº 8547 en el Art. Nº 121, inciso c.1.2(Depósito –Carga y Descarga), y con respecto a la Ocupación del Suelo, el proyecto no cumple el FOS: 89 % (permitido 70%), si cumple el FOT: 2,10% (permitido 2,10 %);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14 el Área de Planeamiento y Patrimonio informa entre otros puntos de su análisis que es factible la excepción ya que la ampliación del Restaurante Hispania “jerarquiza un producto ya impuesto a nivel local y foráneo, de alta gama y consolidación sustentable”;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20 a 23 se adjuntan los Planos del Proyecto y Conformidad de los Propietarios de la PH 002, para que se efectúe la ampliación de la PH 001;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24 María Paloma Pérez Escribano y otros solicitan la autorización del proyecto de ampliación del “Restaurante  Hispania“  por  vía de la excepción  ya que no cumple con los valores del FOS y el Uso del Suelo de acuerdo a lo exigido por la Ordenanza 8547 - Art. 190;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fs.25 la  Secretaría de Obras  Públicos informa “que teniendo en cuenta lo presentado, solicitado e informado por las Áreas Técnicas y todas las actuaciones contenidas en el Expediente, en donde se propone la ampliación de un Restaurante, existente y consolidado como un servicio de alta gama, turístico cultural de la Ciudad de Alta Gracia, respondiendo en su volumen y morfología a una planta baja, en esquina, italianizante, ya reciclado con anterioridad; se propone respetando dicha  volumetría  base, una  ampliación  en dos plantas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superiores, con amplios salones comedores y equipamientos correspondientes; que la Secretaría de Obras Públicas evalúa favorable la propuesta, privilegiando un producto de excelente calidad  que ha traspasado las fronteras hasta alcanzar un mercado nacional e internacional”;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24 y 25 se adjunta informe de dominio o matrícula donde constan los propietarios del inmueble designado como C.01  S.01  M.083  P.014  P.H.002;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referencia, la  Comisión de Obras y Servicios Públicos emite despacho favorable, despacho aprobado por unanimidad en sesión del día 22 de julio  de 2013.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 </w:t>
      </w:r>
      <w:r>
        <w:rPr>
          <w:rStyle w:val="C3"/>
          <w:rFonts w:ascii="Courier New" w:hAnsi="Courier New"/>
        </w:rPr>
        <w:t xml:space="preserve">la construcción en el lote designación catastral 1-1-083-029 – P.H. 1 - Lote F 1 - Mz. Of. 2  sin el cumplimiento del art. 190 (Uso del Suelo y FOS) y  del  art. 121 inc. c.1.2 (Depósito – Carga y Descarga) de la Ordenanza Nº 8547 y en un todo de acuerdo a la  documentación sobre la construcción que se propone realizar y que incluye Plano de Relevamiento y Proyecto, que obra a  fs. 20.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DEBERÁ  </w:t>
      </w:r>
      <w:r>
        <w:rPr>
          <w:rStyle w:val="C3"/>
          <w:sz w:val="24"/>
        </w:rPr>
        <w:t xml:space="preserve">la Secretaría de Obras Públicas  consensuar con los proyectistas, a los efectos de revalorizar la fachada existente, generando algún elemento de discontinuidad entre la fachada existente y la nueva a construir y replantear la ubicación del tanque y sala de máquinas para que se reubique en zona alejada de la fachada.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DEBERÁ </w:t>
      </w:r>
      <w:r>
        <w:rPr>
          <w:rStyle w:val="C3"/>
          <w:sz w:val="24"/>
        </w:rPr>
        <w:t>agregarse,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previo al inicio de la Obra, la Factibilidad de Localización con Evaluación de Impacto Ambiental, según lo establecido en el Art. 121 inc.c.1.2 de la Ordenanza Nº 8547.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EXIGIR </w:t>
      </w:r>
      <w:r>
        <w:rPr>
          <w:rStyle w:val="C3"/>
          <w:sz w:val="24"/>
        </w:rPr>
        <w:t>por medio de la Secretaría de Obras Públicas se tomen, previo al inicio de la obra, todas las medidas tendientes a proteger y resguardar las construcciones existentes en los terrenos colindantes.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CINCO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6C6A5D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50BFF3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1F6A0F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313CF8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059CEE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9CA649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B411B4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D89CDA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58687F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7F3A95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0FBC00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7CA8FB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C03151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EF30A3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C97748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BF24B5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FF9555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F028BB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11FEB9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09FFB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B290D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935E7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631CB2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113E6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E55B51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A4B28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CFF918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C58CF3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1CB69C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31CBC1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BFEC01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1D47E0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8DE1FD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A755A7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DC4AEE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27B899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EDFC0A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CD9B82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93AF81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DA1849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974175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08B990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4EA953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3CB01A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41A82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37369E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F3061F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A121D8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A6E37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BB1C14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8471B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23D3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17077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80CB6A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3591C3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433475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DA350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E5628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BE1A6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B51C6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CAD41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E84C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BE63E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269CBE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F4E9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27420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EC6FD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8DBBA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2E5C4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1BEBF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128AB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1F9D2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5C7939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37E680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95E95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826F8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A8C94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266CA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CF974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E24C3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74518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2ED74F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BB1ECC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619A87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0984B5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9DAEDE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BD768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0D16A2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71C3F3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91689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9310DE4"/>
    <w:multiLevelType w:val="hybridMultilevel"/>
    <w:lvl w:ilvl="0" w:tplc="43A15586">
      <w:start w:val="1"/>
      <w:numFmt w:val="bullet"/>
      <w:suff w:val="tab"/>
      <w:lvlText w:val=""/>
      <w:lvlJc w:val="left"/>
      <w:pPr>
        <w:ind w:hanging="360" w:left="2002"/>
      </w:pPr>
      <w:rPr>
        <w:rFonts w:ascii="Symbol" w:hAnsi="Symbol"/>
      </w:rPr>
    </w:lvl>
    <w:lvl w:ilvl="1" w:tplc="68FA5E19">
      <w:start w:val="1"/>
      <w:numFmt w:val="bullet"/>
      <w:suff w:val="tab"/>
      <w:lvlText w:val="o"/>
      <w:lvlJc w:val="left"/>
      <w:pPr>
        <w:ind w:hanging="360" w:left="2722"/>
      </w:pPr>
      <w:rPr>
        <w:rFonts w:ascii="Courier New" w:hAnsi="Courier New"/>
      </w:rPr>
    </w:lvl>
    <w:lvl w:ilvl="2" w:tplc="581B9DB8">
      <w:start w:val="1"/>
      <w:numFmt w:val="bullet"/>
      <w:suff w:val="tab"/>
      <w:lvlText w:val=""/>
      <w:lvlJc w:val="left"/>
      <w:pPr>
        <w:ind w:hanging="360" w:left="3442"/>
      </w:pPr>
      <w:rPr>
        <w:rFonts w:ascii="Wingdings" w:hAnsi="Wingdings"/>
      </w:rPr>
    </w:lvl>
    <w:lvl w:ilvl="3" w:tplc="1085DCB7">
      <w:start w:val="1"/>
      <w:numFmt w:val="bullet"/>
      <w:suff w:val="tab"/>
      <w:lvlText w:val=""/>
      <w:lvlJc w:val="left"/>
      <w:pPr>
        <w:ind w:hanging="360" w:left="4162"/>
      </w:pPr>
      <w:rPr>
        <w:rFonts w:ascii="Symbol" w:hAnsi="Symbol"/>
      </w:rPr>
    </w:lvl>
    <w:lvl w:ilvl="4" w:tplc="30D6B179">
      <w:start w:val="1"/>
      <w:numFmt w:val="bullet"/>
      <w:suff w:val="tab"/>
      <w:lvlText w:val="o"/>
      <w:lvlJc w:val="left"/>
      <w:pPr>
        <w:ind w:hanging="360" w:left="4882"/>
      </w:pPr>
      <w:rPr>
        <w:rFonts w:ascii="Courier New" w:hAnsi="Courier New"/>
      </w:rPr>
    </w:lvl>
    <w:lvl w:ilvl="5" w:tplc="5A8BCB44">
      <w:start w:val="1"/>
      <w:numFmt w:val="bullet"/>
      <w:suff w:val="tab"/>
      <w:lvlText w:val=""/>
      <w:lvlJc w:val="left"/>
      <w:pPr>
        <w:ind w:hanging="360" w:left="5602"/>
      </w:pPr>
      <w:rPr>
        <w:rFonts w:ascii="Wingdings" w:hAnsi="Wingdings"/>
      </w:rPr>
    </w:lvl>
    <w:lvl w:ilvl="6" w:tplc="34CD351E">
      <w:start w:val="1"/>
      <w:numFmt w:val="bullet"/>
      <w:suff w:val="tab"/>
      <w:lvlText w:val=""/>
      <w:lvlJc w:val="left"/>
      <w:pPr>
        <w:ind w:hanging="360" w:left="6322"/>
      </w:pPr>
      <w:rPr>
        <w:rFonts w:ascii="Symbol" w:hAnsi="Symbol"/>
      </w:rPr>
    </w:lvl>
    <w:lvl w:ilvl="7" w:tplc="2280CA50">
      <w:start w:val="1"/>
      <w:numFmt w:val="bullet"/>
      <w:suff w:val="tab"/>
      <w:lvlText w:val="o"/>
      <w:lvlJc w:val="left"/>
      <w:pPr>
        <w:ind w:hanging="360" w:left="7042"/>
      </w:pPr>
      <w:rPr>
        <w:rFonts w:ascii="Courier New" w:hAnsi="Courier New"/>
      </w:rPr>
    </w:lvl>
    <w:lvl w:ilvl="8" w:tplc="77D61878">
      <w:start w:val="1"/>
      <w:numFmt w:val="bullet"/>
      <w:suff w:val="tab"/>
      <w:lvlText w:val=""/>
      <w:lvlJc w:val="left"/>
      <w:pPr>
        <w:ind w:hanging="360" w:left="7762"/>
      </w:pPr>
      <w:rPr>
        <w:rFonts w:ascii="Wingdings" w:hAnsi="Wingdings"/>
      </w:rPr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311A671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486FA0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DA2A65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8E3C23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68AF77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E9F369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F64D48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C5C3F9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598A07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2676CE4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6"/>
  </w:num>
  <w:num w:numId="3">
    <w:abstractNumId w:val="20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3"/>
  </w:num>
  <w:num w:numId="17">
    <w:abstractNumId w:val="25"/>
  </w:num>
  <w:num w:numId="18">
    <w:abstractNumId w:val="42"/>
  </w:num>
  <w:num w:numId="19">
    <w:abstractNumId w:val="17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8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2"/>
  </w:num>
  <w:num w:numId="43">
    <w:abstractNumId w:val="29"/>
  </w:num>
  <w:num w:numId="44">
    <w:abstractNumId w:val="24"/>
  </w:num>
  <w:num w:numId="45">
    <w:abstractNumId w:val="3"/>
  </w:num>
  <w:num w:numId="46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2013-08-06T16:24:00Z</dcterms:created>
  <cp:lastModifiedBy>Ethan Puglia</cp:lastModifiedBy>
  <cp:lastPrinted>2013-07-10T14:04:00Z</cp:lastPrinted>
  <dcterms:modified xsi:type="dcterms:W3CDTF">2019-03-28T17:33:13Z</dcterms:modified>
  <cp:revision>8</cp:revision>
  <dc:title>PROYECTO DE ORDENANZA VIOLENCIA FAMILIAR</dc:title>
</cp:coreProperties>
</file>