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E48336" Type="http://schemas.openxmlformats.org/officeDocument/2006/relationships/officeDocument" Target="/word/document.xml" /><Relationship Id="coreR22E483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1644/13, iniciada por Leyría Ángel Pedro, DNI Nº 24.655.189 solicitando habilitación comercial;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fs.2 solicita  la habilitación comercial de un local situado en calle Pellegrini Nº 145, Bº Carlos Pellegrini, para realizar las siguientes actividades: casa de eventos, cumpleaños para niñas,talleres de dibujo, pintura y música, para niñas de entre 4 y 12 años;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15 la Oficina de Catastro informa que el inmueble de referencia se designa con la siguiente nomenclatura catastral 01-01-123-003- Mza. Of. 21 y se registra a nombre de Speroni Jorge Augusto;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16 el Jefe de Sección de Control Urbano informa que el comercio a habilitar es un local de Eventos Infantiles;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lugar mencionado está dentro de la Zona Residencial Jardín Carlos Pellegrini Este;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Ordenanza 8547 - Código Urbanístico - en su Art.207, dentro de las disposiciones establecidas no  permite el Uso del Suelo para este tipo de actividad comercial (Uso del Suelo – Servicios Recreativos con Actividades Incómodas – Art.121 – inc.c.2);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 a fs. 18 solicita por “Vía de Excepción”  la autorización para la habilitación de una casa para desarrollar cumpleaños infantiles de 2 a 12 años, así como también Baby  Shower (reunión de amigas para agasajar a la futura mamá) siempre en horarios diurnos; otras actividades que se desarrollarán en el lugar son talleres de dibujo y pintura, cursos mini – gourmet, attellier y bijouteri;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fs.20 se adjunta nota firmada por los vecinos mostrando conformidad con dicho emprendimiento;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Obras y Servicios Públicos, la misma emite despacho favorable, despacho aprobado por unanimidad en sesión del día 23 de septiembre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, a la Señor Leyría Ángel Pedro, D.N.I. Nº  24.655.189, el USO DEL SUELO para la instalación de un Salón de Fiestas Infantiles y Familiares, en la calle Pellegrini Nº 145, sin el cumplimiento del Art.207 de la Ordenanza Nº 8547 (Uso del Suelo).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ESTABL</w:t>
      </w:r>
      <w:r>
        <w:rPr>
          <w:rStyle w:val="C3"/>
          <w:b w:val="1"/>
          <w:sz w:val="24"/>
        </w:rPr>
        <w:t>É</w:t>
      </w:r>
      <w:r>
        <w:rPr>
          <w:rStyle w:val="C3"/>
          <w:b w:val="1"/>
          <w:sz w:val="24"/>
        </w:rPr>
        <w:t xml:space="preserve">ZCASE </w:t>
      </w:r>
      <w:r>
        <w:rPr>
          <w:rStyle w:val="C3"/>
          <w:sz w:val="24"/>
        </w:rPr>
        <w:t xml:space="preserve">que la autorización queda supeditada a dar cumplimiento a las siguientes condiciones: a) El horario de funcionamiento del salón no podrá exceder el horario de las  0 hs.; b) Queda absolutamente prohibido el consumo de bebidas alcohólicas en el lugar; c) los eventos a realizarse deberán ser exclusivamente Fiestas infantiles, familiares y Talleres de dibujo y pintura, Cursos mini – gourmet, attellier y bijouteri en horarios diurnos.</w:t>
      </w:r>
    </w:p>
    <w:p>
      <w:pPr>
        <w:pStyle w:val="P20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jc w:val="right"/>
        <w:rPr>
          <w:rStyle w:val="C3"/>
          <w:b w:val="1"/>
          <w:sz w:val="24"/>
        </w:rPr>
      </w:pPr>
    </w:p>
    <w:p>
      <w:pPr>
        <w:pStyle w:val="P20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20"/>
        <w:ind w:hanging="426" w:left="426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habilitación correspondiente, queda sujeta al cumplimiento de los requisitos establecidos por la Autoridad de Aplicación.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EL </w:t>
      </w:r>
      <w:r>
        <w:rPr>
          <w:rStyle w:val="C3"/>
          <w:sz w:val="24"/>
        </w:rPr>
        <w:t>incumplimiento de las condiciones establecidas en el Art.2, hará caducar de pleno derecho la autorización otorgada en el Art.1.</w:t>
      </w:r>
      <w:r>
        <w:rPr>
          <w:rStyle w:val="C3"/>
          <w:b w:val="1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VEINTITRES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78C259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7620E5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40979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973B99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CF66D4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3A2195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E128C0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9566F7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192D2C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662029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9C8258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C4DD3E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21EBBD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D96506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17678F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EC23DE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640555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204B09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059AC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80F3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8D68F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72A48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6135C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1A18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8856A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5FBA0D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B37C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04524F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3386A4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A2E709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3CC3CF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187EEF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530F02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4ACDC2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FCA93A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246C07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9C315D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5FCF9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D597FC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31C2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D89251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852562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CE6AE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E8B32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64975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EA3FB2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E555D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E407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8222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C13F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55BB5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55DA6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CC0BE6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66527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E98E66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19821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00D89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267F5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EB62E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FACC7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EE9CE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CD680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1E062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764623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95C59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40368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1CE4B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71E0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DCBBC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2FB88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FF291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E086B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4AB30D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127EA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F7CE7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3B12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A4399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7882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B580E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E45B7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164A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ACF74B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5C302F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4772A6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5D8B53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E6E970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4C7318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CA9DB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613F6B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EB1128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C45E8D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79C978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746CA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65EB35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43251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FBBBE0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23450F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F6A08B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052EE9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32461D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2013-09-25T15:04:00Z</dcterms:created>
  <cp:lastModifiedBy>Ethan Puglia</cp:lastModifiedBy>
  <cp:lastPrinted>2013-09-26T13:14:00Z</cp:lastPrinted>
  <dcterms:modified xsi:type="dcterms:W3CDTF">2019-03-28T17:33:14Z</dcterms:modified>
  <cp:revision>6</cp:revision>
  <dc:title>PROYECTO DE ORDENANZA VIOLENCIA FAMILIAR</dc:title>
</cp:coreProperties>
</file>