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54F733B" Type="http://schemas.openxmlformats.org/officeDocument/2006/relationships/officeDocument" Target="/word/document.xml" /><Relationship Id="coreR754F733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9636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360"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383/13 iniciado por el Sr. López, Carlos Gustavo; y</w:t>
      </w:r>
    </w:p>
    <w:p>
      <w:pPr>
        <w:spacing w:before="100" w:after="100" w:beforeAutospacing="1" w:afterAutospacing="1"/>
        <w:ind w:left="150"/>
        <w:jc w:val="both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both"/>
        <w:rPr>
          <w:rStyle w:val="C3"/>
          <w:rFonts w:ascii="Courier New" w:hAnsi="Courier New"/>
          <w:b w:val="1"/>
        </w:rPr>
      </w:pP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eximición de la deuda que mantiene con el municipio en concepto de Tasa por Servicios a la Propiedad por el inmueble Cuenta Nº 00009788;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estudio socioeconómico realizado se desprende que el grupo familiar es extenso con problemas de salud;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inmueble se encuentra a nombre del padre del solicitante, ya fallecido, habitando el mismo el Sr. Carlos López, con su familia y una hermana discapacitada;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por Comisión de Hacienda, la misma emite despacho favorable, despacho aprobado por unanimidad en sesión del día 13 de Noviembre de 2013.</w:t>
      </w:r>
    </w:p>
    <w:p>
      <w:pPr>
        <w:spacing w:beforeAutospacing="1" w:afterAutospacing="1"/>
        <w:jc w:val="right"/>
        <w:rPr>
          <w:rStyle w:val="C3"/>
          <w:rFonts w:ascii="Courier New" w:hAnsi="Courier New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spacing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pStyle w:val="P11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spacing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beforeAutospacing="1" w:afterAutospacing="1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beforeAutospacing="1" w:afterAutospacing="1"/>
        <w:ind w:hanging="426" w:left="426"/>
        <w:jc w:val="right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las cuotas correspondientes a los años 2013 y 2014 de Tasa por Servicios a la Propiedad del inmueble Cuenta Nº 00009788.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</w:rPr>
        <w:t xml:space="preserve">: </w:t>
      </w:r>
      <w:r>
        <w:rPr>
          <w:rStyle w:val="C3"/>
          <w:rFonts w:ascii="Courier New" w:hAnsi="Courier New"/>
          <w:b w:val="1"/>
        </w:rPr>
        <w:t>SOLICITAR</w:t>
      </w:r>
      <w:r>
        <w:rPr>
          <w:rStyle w:val="C3"/>
          <w:rFonts w:ascii="Courier New" w:hAnsi="Courier New"/>
        </w:rPr>
        <w:t xml:space="preserve"> al Departamento Ejecutivo interceda ante los procuradores actuantes en la gestión de cobro de los períodos que se encuentren en esa instancia a fin de dejar sin efecto los juicios y honorarios correspondientes.</w:t>
      </w:r>
    </w:p>
    <w:p>
      <w:pPr>
        <w:spacing w:beforeAutospacing="1" w:afterAutospacing="1"/>
        <w:ind w:hanging="426" w:left="426"/>
        <w:jc w:val="both"/>
        <w:rPr>
          <w:rStyle w:val="C3"/>
          <w:b w:val="1"/>
        </w:rPr>
      </w:pPr>
    </w:p>
    <w:p>
      <w:pPr>
        <w:pStyle w:val="P20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3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TRECE DÍAS DEL MES DE NOVIEMBRE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42E79E21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04C4D689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2A4CD80E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203E5967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22C263A2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79E135F2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7ABCDB81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12403F20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13515890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1ED40E82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0F39EAE8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7AC77AD9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219FF8E7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14E38440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16B95E2B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096135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53988FED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725FDC47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201BACC6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50753DFF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3259655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4E21DFD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A7576B8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1DC6FD8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C1E385D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39A48EB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1E3CD4B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6C56C2B6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5D28065C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6C61D5D5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39F8FAB5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7E1DD03C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3DF19C02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1920A0DF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058D52D3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0F4844EA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412969A4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4EEFEAFC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43923172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512A608D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7ADB2B8C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729A5B83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70864E8C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1EA42026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74B27E18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159BB47D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19601C4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82151CF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343DE4A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6102C56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7CFE57F0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053FBB10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B609C53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2AC363C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1CE6D807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0E058123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A4F5FD0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8706835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4202108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F281BB6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7FD69A7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E6619CB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51838C2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26EF82BA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4DB13CC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11C1AAA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CD5DFD7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87F5908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F56326C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07711A41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F6CA9AC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4A8A5F1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2ECDABD4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4EF14C38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59A1271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08B3AD0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45BCF6F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BD15791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D29F1BE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68284DF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2044725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09C27C7B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7912E46A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2717DB05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6F637DE4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34B940A4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32BD34E9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4B4565C4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7C39C8D7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7787D1AE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74F8E519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58B9016E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1ACFCAF3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246A16BC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692CF6E5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6C7512C1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3D8223C0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4996CCD2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39C90C59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6396646D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2013-11-14T13:08:00Z</dcterms:created>
  <cp:lastModifiedBy>Ethan Puglia</cp:lastModifiedBy>
  <cp:lastPrinted>2013-07-10T14:04:00Z</cp:lastPrinted>
  <dcterms:modified xsi:type="dcterms:W3CDTF">2019-03-28T17:33:15Z</dcterms:modified>
  <cp:revision>4</cp:revision>
  <dc:title>PROYECTO DE ORDENANZA VIOLENCIA FAMILIAR</dc:title>
</cp:coreProperties>
</file>