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E797BE5" Type="http://schemas.openxmlformats.org/officeDocument/2006/relationships/officeDocument" Target="/word/document.xml" /><Relationship Id="coreR5E797BE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tabs>
          <w:tab w:val="left" w:pos="567" w:leader="none"/>
          <w:tab w:val="left" w:pos="709" w:leader="none"/>
        </w:tabs>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9657</w:t>
      </w:r>
    </w:p>
    <w:p>
      <w:pPr>
        <w:ind w:hanging="426" w:left="426"/>
        <w:jc w:val="both"/>
        <w:rPr>
          <w:rStyle w:val="C3"/>
          <w:rFonts w:ascii="Courier New" w:hAnsi="Courier New"/>
        </w:rPr>
      </w:pPr>
    </w:p>
    <w:p>
      <w:pPr>
        <w:jc w:val="both"/>
        <w:rPr>
          <w:rStyle w:val="C3"/>
          <w:rFonts w:ascii="Courier New" w:hAnsi="Courier New"/>
          <w:u w:val="single"/>
        </w:rPr>
      </w:pPr>
    </w:p>
    <w:p>
      <w:pPr>
        <w:ind w:hanging="567" w:left="709"/>
        <w:jc w:val="both"/>
        <w:rPr>
          <w:rStyle w:val="C3"/>
          <w:rFonts w:ascii="Courier New" w:hAnsi="Courier New"/>
        </w:rPr>
      </w:pPr>
      <w:r>
        <w:rPr>
          <w:rStyle w:val="C3"/>
          <w:rFonts w:ascii="Courier New" w:hAnsi="Courier New"/>
        </w:rPr>
        <w:t xml:space="preserve">VISTO: La necesidad de regular aspectos que hacen a la instalación y funcionamiento de las farmacias dentro del radio municipal, complementando la Ordenanza Nº 7618 y en concordancia con las disposiciones de orden Provincial y Nacional; y </w:t>
      </w:r>
    </w:p>
    <w:p>
      <w:pPr>
        <w:spacing w:before="100" w:after="100" w:beforeAutospacing="1" w:afterAutospacing="1"/>
        <w:ind w:hanging="567" w:left="709"/>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p>
    <w:p>
      <w:pPr>
        <w:ind w:hanging="426" w:left="426"/>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ind w:left="709"/>
        <w:jc w:val="both"/>
        <w:rPr>
          <w:rStyle w:val="C3"/>
          <w:rFonts w:ascii="Courier New" w:hAnsi="Courier New"/>
        </w:rPr>
      </w:pPr>
      <w:r>
        <w:rPr>
          <w:rStyle w:val="C3"/>
          <w:rFonts w:ascii="Courier New" w:hAnsi="Courier New"/>
        </w:rPr>
        <w:t xml:space="preserve">Que la Constitución de la Provincia de Córdoba establece las funciones, atribuciones, y finalidades inherentes a la competencia material municipal, y es el Art.186 inc. 7 el que la faculta a atender la  materia: Salubridad;</w:t>
      </w:r>
    </w:p>
    <w:p>
      <w:pPr>
        <w:spacing w:beforeAutospacing="1" w:afterAutospacing="1"/>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la potestad del municipio para regular y coordinar el funcionamiento de las  farmacias, ha sido de gran interés, no sólo en nuestra legislación, sino también a nivel mundial pero con actuación de otras orbitas de gobierno;</w:t>
      </w:r>
    </w:p>
    <w:p>
      <w:pPr>
        <w:spacing w:beforeAutospacing="1" w:afterAutospacing="1"/>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como muestra de ello, podemos mencionar el Pharmacy Act publicado en Alemania en el año 2008, el cual refiere cada uno de los requisitos exigidos para quienes instalen una farmacia, enfatizando en la obligación de proporcionar de manera responsable a la sociedad los apropiados medicamentos y la información adecuada, como así lo exija el interés público;</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entre el ejercicio del poder de policía municipal y la colaboración del Colegio de Farmacéuticos de la Provincia de Córdoba se podrán coordinar acciones tendientes a proporcionar las herramientas necesarias para que la Salud Pública quede resguardada;</w:t>
      </w:r>
    </w:p>
    <w:p>
      <w:pPr>
        <w:ind w:hanging="426" w:left="426"/>
        <w:jc w:val="right"/>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left="709"/>
        <w:jc w:val="both"/>
        <w:rPr>
          <w:rStyle w:val="C3"/>
          <w:rFonts w:ascii="Courier New" w:hAnsi="Courier New"/>
        </w:rPr>
      </w:pPr>
      <w:r>
        <w:rPr>
          <w:rStyle w:val="C3"/>
          <w:rFonts w:ascii="Courier New" w:hAnsi="Courier New"/>
        </w:rPr>
        <w:t xml:space="preserve">Que la ley Nº8302 que reglamenta el  ejercicio de la profesión de farmacéutico en la Provincia  de Córdoba, en el  Título Primero, Art. 3 establece que el medicamento es un bien social por lo tanto su dispensación al público sólo podrá efectuarse en las farmacias, aún en los casos de aquellos denominados de “venta libre”;</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de igual manera, el notable incremento de ventas de medicamentos en lugares no habilitados para ello, y/o adulterados y falsificados provoca una amenaza  constante y un desmesurado riesgo en la salud de toda la comunidad;</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con la finalidad de disminuir la automedicación, y atento a las patologías derivadas del consumo sin control de medicamentos, es necesario garantizar que las farmacias sean las únicas autorizadas para la comercialización de los mismos;</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dicha finalidad se entronca con el Art. 42 de la Constitución Nacional, que asegura a los consumidores de bienes y servicios en las relaciones de consumo, el derecho a la protección de su Salud y a recibir información adecuada y veraz;</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la larga lucha de los sectores farmacéuticos para poner fin a la oferta de medicamentos en góndolas tuvo sus frutos, cuando la justicia dejó sin efecto una medida cautelar que permitía a la principal cadenera del país mantener esta oferta, prohibida por la ley 26.567;</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un fallo judicial del mes de Marzo de 2012 obliga a todas las farmacias a sólo expender los remedios a través de un profesional o empleado autorizado;</w:t>
      </w:r>
    </w:p>
    <w:p>
      <w:pPr>
        <w:ind w:left="709"/>
        <w:jc w:val="both"/>
        <w:rPr>
          <w:rStyle w:val="C3"/>
          <w:rFonts w:ascii="Courier New" w:hAnsi="Courier New"/>
        </w:rPr>
      </w:pPr>
    </w:p>
    <w:p>
      <w:pPr>
        <w:shd w:val="clear" w:fill="FFFFFF"/>
        <w:ind w:left="709"/>
        <w:jc w:val="right"/>
        <w:rPr>
          <w:rStyle w:val="C3"/>
          <w:rFonts w:ascii="Courier New" w:hAnsi="Courier New"/>
        </w:rPr>
      </w:pPr>
      <w:r>
        <w:rPr>
          <w:rStyle w:val="C3"/>
          <w:rFonts w:ascii="Courier New" w:hAnsi="Courier New"/>
        </w:rPr>
        <w:t>...///</w:t>
      </w: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...///3.-</w:t>
      </w:r>
    </w:p>
    <w:p>
      <w:pPr>
        <w:shd w:val="clear" w:fill="FFFFFF"/>
        <w:ind w:left="709"/>
        <w:jc w:val="both"/>
        <w:rPr>
          <w:rStyle w:val="C3"/>
          <w:rFonts w:ascii="Courier New" w:hAnsi="Courier New"/>
        </w:rPr>
      </w:pPr>
    </w:p>
    <w:p>
      <w:pPr>
        <w:shd w:val="clear" w:fill="FFFFFF"/>
        <w:ind w:left="709"/>
        <w:jc w:val="both"/>
        <w:rPr>
          <w:rStyle w:val="C3"/>
          <w:rFonts w:ascii="Courier New" w:hAnsi="Courier New"/>
        </w:rPr>
      </w:pPr>
      <w:r>
        <w:rPr>
          <w:rStyle w:val="C3"/>
          <w:rFonts w:ascii="Courier New" w:hAnsi="Courier New"/>
        </w:rPr>
        <w:t>Que la Justicia en lo Contencioso Administrativo Federal determinó que las cadenas de farmacias no pueden vender los medicamentos denominados de “venta libre” mediante la exhibición en góndolas en las que el cliente los toma directamente y luego los abona en caja;</w:t>
      </w:r>
    </w:p>
    <w:p>
      <w:pPr>
        <w:shd w:val="clear" w:fill="FFFFFF"/>
        <w:ind w:left="709"/>
        <w:jc w:val="both"/>
        <w:rPr>
          <w:rStyle w:val="C3"/>
          <w:rFonts w:ascii="Courier New" w:hAnsi="Courier New"/>
        </w:rPr>
      </w:pPr>
    </w:p>
    <w:p>
      <w:pPr>
        <w:shd w:val="clear" w:fill="FFFFFF"/>
        <w:ind w:left="709" w:right="150"/>
        <w:jc w:val="both"/>
        <w:rPr>
          <w:rStyle w:val="C3"/>
          <w:rFonts w:ascii="Courier New" w:hAnsi="Courier New"/>
        </w:rPr>
      </w:pPr>
      <w:r>
        <w:rPr>
          <w:rStyle w:val="C3"/>
          <w:rFonts w:ascii="Courier New" w:hAnsi="Courier New"/>
        </w:rPr>
        <w:t>Que el tribunal reivindicó el artículo 1º de la Ley Nº 26.567, que regula el ejercicio de la actividad farmacéutica y establece que “los medicamentos denominados de venta libre deberán ser dispensados personalmente en mostrador por farmacéuticos o persona autorizada para el expendio”;</w:t>
      </w:r>
    </w:p>
    <w:p>
      <w:pPr>
        <w:shd w:val="clear" w:fill="FFFFFF"/>
        <w:ind w:left="709" w:right="150"/>
        <w:jc w:val="both"/>
        <w:rPr>
          <w:rStyle w:val="C3"/>
          <w:rFonts w:ascii="Courier New" w:hAnsi="Courier New"/>
        </w:rPr>
      </w:pPr>
    </w:p>
    <w:p>
      <w:pPr>
        <w:shd w:val="clear" w:fill="FFFFFF"/>
        <w:ind w:left="709" w:right="150"/>
        <w:jc w:val="both"/>
        <w:rPr>
          <w:rStyle w:val="C3"/>
          <w:rFonts w:ascii="Courier New" w:hAnsi="Courier New"/>
        </w:rPr>
      </w:pPr>
      <w:r>
        <w:rPr>
          <w:rStyle w:val="C3"/>
          <w:rFonts w:ascii="Courier New" w:hAnsi="Courier New"/>
        </w:rPr>
        <w:t>Que en ese sentido, recordó que “la venta libre de esos medicamentos es una actividad que conlleva riesgos para la salud de los ciudadanos”, a tal punto que, “por consecuencia del uso indiscriminado que realiza de la medicación de venta libre se han llegado a producir más de 10.000 muertes anuales”;</w:t>
      </w:r>
    </w:p>
    <w:p>
      <w:pPr>
        <w:shd w:val="clear" w:fill="FFFFFF"/>
        <w:ind w:left="709" w:right="150"/>
        <w:jc w:val="both"/>
        <w:rPr>
          <w:rStyle w:val="C3"/>
          <w:rFonts w:ascii="Courier New" w:hAnsi="Courier New"/>
        </w:rPr>
      </w:pPr>
    </w:p>
    <w:p>
      <w:pPr>
        <w:shd w:val="clear" w:fill="FFFFFF"/>
        <w:ind w:left="709" w:right="150"/>
        <w:jc w:val="both"/>
        <w:rPr>
          <w:rStyle w:val="C3"/>
          <w:rFonts w:ascii="Courier New" w:hAnsi="Courier New"/>
        </w:rPr>
      </w:pPr>
      <w:r>
        <w:rPr>
          <w:rStyle w:val="C3"/>
          <w:rFonts w:ascii="Courier New" w:hAnsi="Courier New"/>
        </w:rPr>
        <w:t>Que así la destacada jurisprudencia de nuestro país se ha pronunciado, consideró “evidente que el fármaco no puede estar al alcance del usuario en una góndola, dado que si ello ocurriese la función de la farmacia se limitaría a exponer medicamentos y luego cobrar el precio, sin mayores diferencias con cualquier otra actividad comercial” (Sala V de la Cámara Nacional en lo Contencioso Administrativa, autos caratulados “Proconsumer c/Farmacity SA S/Amparo ley 16.986”);</w:t>
      </w:r>
    </w:p>
    <w:p>
      <w:pPr>
        <w:shd w:val="clear" w:fill="FFFFFF"/>
        <w:ind w:left="709" w:right="150"/>
        <w:jc w:val="both"/>
        <w:rPr>
          <w:rStyle w:val="C3"/>
          <w:rFonts w:ascii="Courier New" w:hAnsi="Courier New"/>
        </w:rPr>
      </w:pPr>
    </w:p>
    <w:p>
      <w:pPr>
        <w:shd w:val="clear" w:fill="FFFFFF"/>
        <w:ind w:left="709" w:right="150"/>
        <w:jc w:val="both"/>
        <w:rPr>
          <w:rStyle w:val="C3"/>
          <w:rFonts w:ascii="Courier New" w:hAnsi="Courier New"/>
        </w:rPr>
      </w:pPr>
      <w:r>
        <w:rPr>
          <w:rStyle w:val="C3"/>
          <w:rFonts w:ascii="Courier New" w:hAnsi="Courier New"/>
        </w:rPr>
        <w:t xml:space="preserve">Que a partir del referido fallo, podemos afirmar que todas las farmacias están en igualdad de condiciones ante la ley y, por sobre todas las cosas, se está protegiendo la salud de la población que está expuesta en forma permanente a la promoción de la automedicación irresponsable, en una cultura de consumo irracional de los medicamentos; por ello,  no puede haber medicamentos sin control del farmacéutico;</w:t>
      </w:r>
    </w:p>
    <w:p>
      <w:pPr>
        <w:shd w:val="clear" w:fill="FFFFFF"/>
        <w:ind w:left="709"/>
        <w:jc w:val="right"/>
        <w:rPr>
          <w:rStyle w:val="C3"/>
          <w:rFonts w:ascii="Courier New" w:hAnsi="Courier New"/>
        </w:rPr>
      </w:pPr>
      <w:r>
        <w:rPr>
          <w:rStyle w:val="C3"/>
          <w:rFonts w:ascii="Courier New" w:hAnsi="Courier New"/>
        </w:rPr>
        <w:t>...///</w:t>
      </w:r>
    </w:p>
    <w:p>
      <w:pPr>
        <w:shd w:val="clear" w:fill="FFFFFF"/>
        <w:ind w:left="709" w:right="150"/>
        <w:jc w:val="right"/>
        <w:rPr>
          <w:rStyle w:val="C3"/>
          <w:rFonts w:ascii="Courier New" w:hAnsi="Courier New"/>
        </w:rPr>
      </w:pPr>
    </w:p>
    <w:p>
      <w:pPr>
        <w:shd w:val="clear" w:fill="FFFFFF"/>
        <w:ind w:left="709" w:right="150"/>
        <w:jc w:val="right"/>
        <w:rPr>
          <w:rStyle w:val="C3"/>
          <w:rFonts w:ascii="Courier New" w:hAnsi="Courier New"/>
        </w:rPr>
      </w:pPr>
    </w:p>
    <w:p>
      <w:pPr>
        <w:shd w:val="clear" w:fill="FFFFFF"/>
        <w:ind w:left="709" w:right="150"/>
        <w:jc w:val="right"/>
        <w:rPr>
          <w:rStyle w:val="C3"/>
          <w:rFonts w:ascii="Courier New" w:hAnsi="Courier New"/>
        </w:rPr>
      </w:pPr>
    </w:p>
    <w:p>
      <w:pPr>
        <w:shd w:val="clear" w:fill="FFFFFF"/>
        <w:ind w:left="709" w:right="150"/>
        <w:jc w:val="right"/>
        <w:rPr>
          <w:rStyle w:val="C3"/>
          <w:rFonts w:ascii="Courier New" w:hAnsi="Courier New"/>
        </w:rPr>
      </w:pPr>
    </w:p>
    <w:p>
      <w:pPr>
        <w:shd w:val="clear" w:fill="FFFFFF"/>
        <w:ind w:left="709" w:right="150"/>
        <w:jc w:val="right"/>
        <w:rPr>
          <w:rStyle w:val="C3"/>
          <w:rFonts w:ascii="Courier New" w:hAnsi="Courier New"/>
        </w:rPr>
      </w:pPr>
    </w:p>
    <w:p>
      <w:pPr>
        <w:shd w:val="clear" w:fill="FFFFFF"/>
        <w:jc w:val="both"/>
        <w:rPr>
          <w:rStyle w:val="C3"/>
          <w:rFonts w:ascii="Courier New" w:hAnsi="Courier New"/>
        </w:rPr>
      </w:pPr>
      <w:r>
        <w:rPr>
          <w:rStyle w:val="C3"/>
          <w:rFonts w:ascii="Courier New" w:hAnsi="Courier New"/>
        </w:rPr>
        <w:t>...///4.-</w:t>
      </w:r>
    </w:p>
    <w:p>
      <w:pPr>
        <w:shd w:val="clear" w:fill="FFFFFF"/>
        <w:ind w:left="709" w:right="150"/>
        <w:jc w:val="both"/>
        <w:rPr>
          <w:rStyle w:val="C3"/>
          <w:rFonts w:ascii="Courier New" w:hAnsi="Courier New"/>
        </w:rPr>
      </w:pPr>
    </w:p>
    <w:p>
      <w:pPr>
        <w:shd w:val="clear" w:fill="FFFFFF"/>
        <w:ind w:left="709" w:right="150"/>
        <w:jc w:val="both"/>
        <w:rPr>
          <w:rStyle w:val="C3"/>
          <w:rFonts w:ascii="Courier New" w:hAnsi="Courier New"/>
        </w:rPr>
      </w:pPr>
      <w:r>
        <w:rPr>
          <w:rStyle w:val="C3"/>
          <w:rFonts w:ascii="Courier New" w:hAnsi="Courier New"/>
        </w:rPr>
        <w:t>Que los medicamentos deben dejar de ser considerados livianamente un producto de consumo porque mal utilizados no sólo no curan, sino que causan graves daños;</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el espíritu de la norma se dirige a establecer un control más estricto sobre la comercialización de medicamentos en pos del cuidado del consumidor, dicha intención no puede excluir de ninguna forma la conducta de las farmacias como principales canales de venta;</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por otra parte, resulta conveniente que los profesionales farmacéuticos a cargo de la Dirección Técnica de las farmacias tengan residencia en la ciudad, promoviendo de esta manera a la inserción laboral de los profesionales locales;</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en la actualidad las Farmacias de la ciudad son empresas familiares, situación que resulta conveniente resguardar a fin de colaborar con la sustentabilidad económica de las mismas.</w:t>
      </w:r>
    </w:p>
    <w:p>
      <w:pPr>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evaluado el proyecto por el Concejo constituido en Comisión se emite despacho favorable, despacho aprobado por mayoría en Sesión del día 11 de diciembre de 2013 </w:t>
      </w:r>
    </w:p>
    <w:p>
      <w:pPr>
        <w:spacing w:beforeAutospacing="1" w:afterAutospacing="1"/>
        <w:ind w:left="426"/>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w:t>
      </w:r>
      <w:r>
        <w:rPr>
          <w:rStyle w:val="C3"/>
          <w:rFonts w:ascii="Courier New" w:hAnsi="Courier New"/>
          <w:b w:val="1"/>
        </w:rPr>
        <w:t>Í</w:t>
      </w:r>
      <w:r>
        <w:rPr>
          <w:rStyle w:val="C3"/>
          <w:rFonts w:ascii="Courier New" w:hAnsi="Courier New"/>
          <w:b w:val="1"/>
        </w:rPr>
        <w:t>QUESE</w:t>
      </w:r>
      <w:r>
        <w:rPr>
          <w:rStyle w:val="C3"/>
          <w:rFonts w:ascii="Courier New" w:hAnsi="Courier New"/>
        </w:rPr>
        <w:t xml:space="preserve"> el Art.1 de la Ordenanza Nº 7618 que quedará redactado de la siguiente forma:----------------</w:t>
      </w:r>
    </w:p>
    <w:p>
      <w:pPr>
        <w:ind w:hanging="426" w:left="426"/>
        <w:jc w:val="both"/>
        <w:rPr>
          <w:rStyle w:val="C3"/>
          <w:rFonts w:ascii="Courier New" w:hAnsi="Courier New"/>
        </w:rPr>
      </w:pPr>
      <w:r>
        <w:rPr>
          <w:rStyle w:val="C3"/>
          <w:rFonts w:ascii="Courier New" w:hAnsi="Courier New"/>
        </w:rPr>
        <w:tab/>
        <w:t>“</w:t>
      </w: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FIJASE</w:t>
      </w:r>
      <w:r>
        <w:rPr>
          <w:rStyle w:val="C3"/>
          <w:rFonts w:ascii="Courier New" w:hAnsi="Courier New"/>
          <w:b w:val="1"/>
        </w:rPr>
        <w:t>,</w:t>
      </w:r>
      <w:r>
        <w:rPr>
          <w:rStyle w:val="C3"/>
          <w:rFonts w:ascii="Courier New" w:hAnsi="Courier New"/>
        </w:rPr>
        <w:t xml:space="preserve"> para la habilitación municipal de nuevas farmacias, una distancia mínima de trescientos metros (300m) con respecto a otra farmacia ya instalada y habilitada por este Estado Municipal, medidas de puerta a puerta y por el camino peatonal más cercano entre cada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una de ellas. Estableciéndose como superficie máxima para el establecimiento cien metros cuadrados (100 m2) cubiertos incluyendo el área de despacho al público, laboratorio, depósito y baño, y mínima de cuarenta metros cuadrados (40m2).</w:t>
      </w:r>
    </w:p>
    <w:p>
      <w:pPr>
        <w:spacing w:beforeAutospacing="1" w:afterAutospacing="1"/>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INCORP</w:t>
      </w:r>
      <w:r>
        <w:rPr>
          <w:rStyle w:val="C3"/>
          <w:rFonts w:ascii="Courier New" w:hAnsi="Courier New"/>
          <w:b w:val="1"/>
        </w:rPr>
        <w:t>Ó</w:t>
      </w:r>
      <w:r>
        <w:rPr>
          <w:rStyle w:val="C3"/>
          <w:rFonts w:ascii="Courier New" w:hAnsi="Courier New"/>
          <w:b w:val="1"/>
        </w:rPr>
        <w:t>RESE</w:t>
      </w:r>
      <w:r>
        <w:rPr>
          <w:rStyle w:val="C3"/>
          <w:rFonts w:ascii="Courier New" w:hAnsi="Courier New"/>
        </w:rPr>
        <w:t xml:space="preserve"> el Art.16 a la Ordenanza Nº 7618 cuyo texto queda redactado de la siguiente forma:------------</w:t>
      </w:r>
    </w:p>
    <w:p>
      <w:pPr>
        <w:ind w:hanging="426" w:left="426"/>
        <w:jc w:val="both"/>
        <w:rPr>
          <w:rStyle w:val="C3"/>
          <w:rFonts w:ascii="Courier New" w:hAnsi="Courier New"/>
        </w:rPr>
      </w:pPr>
      <w:r>
        <w:rPr>
          <w:rStyle w:val="C3"/>
          <w:rFonts w:ascii="Courier New" w:hAnsi="Courier New"/>
        </w:rPr>
        <w:t xml:space="preserve"> </w:t>
        <w:tab/>
        <w:t>“</w:t>
      </w:r>
      <w:r>
        <w:rPr>
          <w:rStyle w:val="C3"/>
          <w:rFonts w:ascii="Courier New" w:hAnsi="Courier New"/>
          <w:b w:val="1"/>
          <w:u w:val="single"/>
        </w:rPr>
        <w:t>Art.16</w:t>
      </w:r>
      <w:r>
        <w:rPr>
          <w:rStyle w:val="C3"/>
          <w:rFonts w:ascii="Courier New" w:hAnsi="Courier New"/>
          <w:b w:val="1"/>
        </w:rPr>
        <w:t>:</w:t>
      </w:r>
      <w:r>
        <w:rPr>
          <w:rStyle w:val="C3"/>
          <w:rFonts w:ascii="Courier New" w:hAnsi="Courier New"/>
        </w:rPr>
        <w:t xml:space="preserve"> </w:t>
      </w:r>
      <w:r>
        <w:rPr>
          <w:rStyle w:val="C3"/>
          <w:rFonts w:ascii="Courier New" w:hAnsi="Courier New"/>
          <w:b w:val="1"/>
        </w:rPr>
        <w:t>PROH</w:t>
      </w:r>
      <w:r>
        <w:rPr>
          <w:rStyle w:val="C3"/>
          <w:rFonts w:ascii="Courier New" w:hAnsi="Courier New"/>
          <w:b w:val="1"/>
        </w:rPr>
        <w:t>Í</w:t>
      </w:r>
      <w:r>
        <w:rPr>
          <w:rStyle w:val="C3"/>
          <w:rFonts w:ascii="Courier New" w:hAnsi="Courier New"/>
          <w:b w:val="1"/>
        </w:rPr>
        <w:t>BASE</w:t>
      </w:r>
      <w:r>
        <w:rPr>
          <w:rStyle w:val="C3"/>
          <w:rFonts w:ascii="Courier New" w:hAnsi="Courier New"/>
        </w:rPr>
        <w:t xml:space="preserve"> en todas las farmacias la exposición y el expendio de medicamentos en góndolas con acceso directo al consumidor.”</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INCORPÓ</w:t>
      </w:r>
      <w:r>
        <w:rPr>
          <w:rStyle w:val="C3"/>
          <w:rFonts w:ascii="Courier New" w:hAnsi="Courier New"/>
          <w:b w:val="1"/>
        </w:rPr>
        <w:t>RESE</w:t>
      </w:r>
      <w:r>
        <w:rPr>
          <w:rStyle w:val="C3"/>
          <w:rFonts w:ascii="Courier New" w:hAnsi="Courier New"/>
        </w:rPr>
        <w:t xml:space="preserve"> el Art.17 a la Ordenanza Nº 7618 cuyo texto queda redactado de la siguiente forma:------------</w:t>
      </w:r>
    </w:p>
    <w:p>
      <w:pPr>
        <w:ind w:left="426"/>
        <w:jc w:val="both"/>
        <w:rPr>
          <w:rStyle w:val="C3"/>
          <w:rFonts w:ascii="Courier New" w:hAnsi="Courier New"/>
        </w:rPr>
      </w:pPr>
      <w:r>
        <w:rPr>
          <w:rStyle w:val="C3"/>
          <w:rFonts w:ascii="Courier New" w:hAnsi="Courier New"/>
        </w:rPr>
        <w:t>“</w:t>
      </w:r>
      <w:r>
        <w:rPr>
          <w:rStyle w:val="C3"/>
          <w:rFonts w:ascii="Courier New" w:hAnsi="Courier New"/>
          <w:b w:val="1"/>
          <w:u w:val="single"/>
        </w:rPr>
        <w:t>Art.17</w:t>
      </w:r>
      <w:r>
        <w:rPr>
          <w:rStyle w:val="C3"/>
          <w:rFonts w:ascii="Courier New" w:hAnsi="Courier New"/>
          <w:b w:val="1"/>
        </w:rPr>
        <w:t>:</w:t>
      </w:r>
      <w:r>
        <w:rPr>
          <w:rStyle w:val="C3"/>
          <w:rFonts w:ascii="Courier New" w:hAnsi="Courier New"/>
        </w:rPr>
        <w:t xml:space="preserve"> </w:t>
      </w:r>
      <w:r>
        <w:rPr>
          <w:rStyle w:val="C3"/>
          <w:rFonts w:ascii="Courier New" w:hAnsi="Courier New"/>
          <w:b w:val="1"/>
        </w:rPr>
        <w:t>ESTABLÉ</w:t>
      </w:r>
      <w:r>
        <w:rPr>
          <w:rStyle w:val="C3"/>
          <w:rFonts w:ascii="Courier New" w:hAnsi="Courier New"/>
          <w:b w:val="1"/>
        </w:rPr>
        <w:t>CESE</w:t>
      </w:r>
      <w:r>
        <w:rPr>
          <w:rStyle w:val="C3"/>
          <w:rFonts w:ascii="Courier New" w:hAnsi="Courier New"/>
        </w:rPr>
        <w:t xml:space="preserve"> que el Farmacéutico Director Técnico solicitante de la habilitación municipal de la farmacia, además de la previa autorización de la autoridad provincial (Ministerio de Salud), deberá tener  domicilio real en el ejido de este Municipio con una antigüedad mínima de dos (2) años anteriores a la fecha de la solicitud. Si el plazo de residencia en la ciudad fuere menor deberá abonar por adelantado el equivalente a tres años de la tasa mínima fijada que debe abonar en concepto de Inspección General e Higiene.”</w:t>
      </w:r>
    </w:p>
    <w:p>
      <w:pPr>
        <w:ind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INCORÓ</w:t>
      </w:r>
      <w:r>
        <w:rPr>
          <w:rStyle w:val="C3"/>
          <w:rFonts w:ascii="Courier New" w:hAnsi="Courier New"/>
          <w:b w:val="1"/>
        </w:rPr>
        <w:t xml:space="preserve">RESE </w:t>
      </w:r>
      <w:r>
        <w:rPr>
          <w:rStyle w:val="C3"/>
          <w:rFonts w:ascii="Courier New" w:hAnsi="Courier New"/>
        </w:rPr>
        <w:t xml:space="preserve">el Art.18  a la Ordenanza Nº 7618 cuyo texto queda redactado de la siguiente forma:------------</w:t>
      </w:r>
    </w:p>
    <w:p>
      <w:pPr>
        <w:ind w:left="426"/>
        <w:jc w:val="both"/>
        <w:rPr>
          <w:rStyle w:val="C3"/>
          <w:rFonts w:ascii="Courier New" w:hAnsi="Courier New"/>
        </w:rPr>
      </w:pPr>
      <w:r>
        <w:rPr>
          <w:rStyle w:val="C3"/>
          <w:rFonts w:ascii="Courier New" w:hAnsi="Courier New"/>
        </w:rPr>
        <w:t>“</w:t>
      </w:r>
      <w:r>
        <w:rPr>
          <w:rStyle w:val="C3"/>
          <w:rFonts w:ascii="Courier New" w:hAnsi="Courier New"/>
          <w:b w:val="1"/>
          <w:u w:val="single"/>
        </w:rPr>
        <w:t>Art.18</w:t>
      </w:r>
      <w:r>
        <w:rPr>
          <w:rStyle w:val="C3"/>
          <w:rFonts w:ascii="Courier New" w:hAnsi="Courier New"/>
          <w:b w:val="1"/>
        </w:rPr>
        <w:t>:</w:t>
      </w:r>
      <w:r>
        <w:rPr>
          <w:rStyle w:val="C3"/>
          <w:rFonts w:ascii="Courier New" w:hAnsi="Courier New"/>
        </w:rPr>
        <w:t xml:space="preserve"> </w:t>
      </w:r>
      <w:r>
        <w:rPr>
          <w:rStyle w:val="C3"/>
          <w:rFonts w:ascii="Courier New" w:hAnsi="Courier New"/>
          <w:b w:val="1"/>
        </w:rPr>
        <w:t>DETERM</w:t>
      </w:r>
      <w:r>
        <w:rPr>
          <w:rStyle w:val="C3"/>
          <w:rFonts w:ascii="Courier New" w:hAnsi="Courier New"/>
          <w:b w:val="1"/>
        </w:rPr>
        <w:t>Í</w:t>
      </w:r>
      <w:r>
        <w:rPr>
          <w:rStyle w:val="C3"/>
          <w:rFonts w:ascii="Courier New" w:hAnsi="Courier New"/>
          <w:b w:val="1"/>
        </w:rPr>
        <w:t>NASE</w:t>
      </w:r>
      <w:r>
        <w:rPr>
          <w:rStyle w:val="C3"/>
          <w:rFonts w:ascii="Courier New" w:hAnsi="Courier New"/>
        </w:rPr>
        <w:t xml:space="preserve"> que las farmacias habilitadas por la autoridad de aplicación que se constituyan bajo la figura de Farmacia Sindical o Mutual, sólo podrán expender, vender y comercializar medicamentos a sus afiliados de conformidad  lo dispuesto por la legislación nacional, que regula la actuación de las asociaciones profesionales –sindicatos-, como de las Mutuales y Cooperativas. Toda farmacia que infrinja lo normado en el presente artículo será sancionada con clausura de hasta cinco días y una multa equivalente a 100 U.F. en una primera infracción duplicándose la sanción en caso de reincidencia y en caso de una tercera reincidencia, además de la sanción pecuniaria se procederá a la clausura definitiva del establecimiento.”.</w:t>
      </w:r>
    </w:p>
    <w:p>
      <w:pPr>
        <w:shd w:val="clear" w:fill="FFFFFF"/>
        <w:ind w:left="709"/>
        <w:jc w:val="right"/>
        <w:rPr>
          <w:rStyle w:val="C3"/>
          <w:rFonts w:ascii="Courier New" w:hAnsi="Courier New"/>
        </w:rPr>
      </w:pPr>
      <w:r>
        <w:rPr>
          <w:rStyle w:val="C3"/>
          <w:rFonts w:ascii="Courier New" w:hAnsi="Courier New"/>
        </w:rPr>
        <w:t>...///</w:t>
      </w: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p>
    <w:p>
      <w:pPr>
        <w:shd w:val="clear" w:fill="FFFFFF"/>
        <w:jc w:val="both"/>
        <w:rPr>
          <w:rStyle w:val="C3"/>
          <w:rFonts w:ascii="Courier New" w:hAnsi="Courier New"/>
        </w:rPr>
      </w:pPr>
      <w:r>
        <w:rPr>
          <w:rStyle w:val="C3"/>
          <w:rFonts w:ascii="Courier New" w:hAnsi="Courier New"/>
        </w:rPr>
        <w:t>...///6.-</w:t>
      </w:r>
    </w:p>
    <w:p>
      <w:pPr>
        <w:ind w:hanging="426" w:left="426"/>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rPr>
          <w:rStyle w:val="C3"/>
        </w:rPr>
      </w:pPr>
    </w:p>
    <w:p>
      <w:pPr>
        <w:pStyle w:val="P17"/>
        <w:rPr>
          <w:rStyle w:val="C3"/>
        </w:rPr>
      </w:pPr>
    </w:p>
    <w:p>
      <w:pPr>
        <w:pStyle w:val="P17"/>
      </w:pPr>
      <w:r>
        <w:t xml:space="preserve">DADA EN LA SALA DE SESIONES DEL HONORABLE CONCEJO DELIBERANTE A LOS ONCE DÍAS DEL MES DE DICIEMBRE DEL AÑO DOS MIL TRECE.- </w:t>
      </w:r>
    </w:p>
    <w:p>
      <w:pPr>
        <w:tabs>
          <w:tab w:val="left" w:pos="1134" w:leader="none"/>
        </w:tabs>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EF62358">
      <w:start w:val="0"/>
      <w:numFmt w:val="bullet"/>
      <w:suff w:val="tab"/>
      <w:lvlText w:val=""/>
      <w:lvlJc w:val="left"/>
      <w:pPr>
        <w:ind w:hanging="360" w:left="786"/>
      </w:pPr>
      <w:rPr>
        <w:rFonts w:ascii="Symbol" w:hAnsi="Symbol"/>
      </w:rPr>
    </w:lvl>
    <w:lvl w:ilvl="1" w:tplc="1C40F331">
      <w:start w:val="1"/>
      <w:numFmt w:val="bullet"/>
      <w:suff w:val="tab"/>
      <w:lvlText w:val="o"/>
      <w:lvlJc w:val="left"/>
      <w:pPr>
        <w:ind w:hanging="360" w:left="1506"/>
      </w:pPr>
      <w:rPr>
        <w:rFonts w:ascii="Courier New" w:hAnsi="Courier New"/>
      </w:rPr>
    </w:lvl>
    <w:lvl w:ilvl="2" w:tplc="52053A6B">
      <w:start w:val="1"/>
      <w:numFmt w:val="bullet"/>
      <w:suff w:val="tab"/>
      <w:lvlText w:val=""/>
      <w:lvlJc w:val="left"/>
      <w:pPr>
        <w:ind w:hanging="360" w:left="2226"/>
      </w:pPr>
      <w:rPr>
        <w:rFonts w:ascii="Wingdings" w:hAnsi="Wingdings"/>
      </w:rPr>
    </w:lvl>
    <w:lvl w:ilvl="3" w:tplc="7254A891">
      <w:start w:val="1"/>
      <w:numFmt w:val="bullet"/>
      <w:suff w:val="tab"/>
      <w:lvlText w:val=""/>
      <w:lvlJc w:val="left"/>
      <w:pPr>
        <w:ind w:hanging="360" w:left="2946"/>
      </w:pPr>
      <w:rPr>
        <w:rFonts w:ascii="Symbol" w:hAnsi="Symbol"/>
      </w:rPr>
    </w:lvl>
    <w:lvl w:ilvl="4" w:tplc="00538250">
      <w:start w:val="1"/>
      <w:numFmt w:val="bullet"/>
      <w:suff w:val="tab"/>
      <w:lvlText w:val="o"/>
      <w:lvlJc w:val="left"/>
      <w:pPr>
        <w:ind w:hanging="360" w:left="3666"/>
      </w:pPr>
      <w:rPr>
        <w:rFonts w:ascii="Courier New" w:hAnsi="Courier New"/>
      </w:rPr>
    </w:lvl>
    <w:lvl w:ilvl="5" w:tplc="2A1C7B56">
      <w:start w:val="1"/>
      <w:numFmt w:val="bullet"/>
      <w:suff w:val="tab"/>
      <w:lvlText w:val=""/>
      <w:lvlJc w:val="left"/>
      <w:pPr>
        <w:ind w:hanging="360" w:left="4386"/>
      </w:pPr>
      <w:rPr>
        <w:rFonts w:ascii="Wingdings" w:hAnsi="Wingdings"/>
      </w:rPr>
    </w:lvl>
    <w:lvl w:ilvl="6" w:tplc="79C48800">
      <w:start w:val="1"/>
      <w:numFmt w:val="bullet"/>
      <w:suff w:val="tab"/>
      <w:lvlText w:val=""/>
      <w:lvlJc w:val="left"/>
      <w:pPr>
        <w:ind w:hanging="360" w:left="5106"/>
      </w:pPr>
      <w:rPr>
        <w:rFonts w:ascii="Symbol" w:hAnsi="Symbol"/>
      </w:rPr>
    </w:lvl>
    <w:lvl w:ilvl="7" w:tplc="603413DA">
      <w:start w:val="1"/>
      <w:numFmt w:val="bullet"/>
      <w:suff w:val="tab"/>
      <w:lvlText w:val="o"/>
      <w:lvlJc w:val="left"/>
      <w:pPr>
        <w:ind w:hanging="360" w:left="5826"/>
      </w:pPr>
      <w:rPr>
        <w:rFonts w:ascii="Courier New" w:hAnsi="Courier New"/>
      </w:rPr>
    </w:lvl>
    <w:lvl w:ilvl="8" w:tplc="32A36632">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8C14A8D">
      <w:start w:val="0"/>
      <w:numFmt w:val="bullet"/>
      <w:suff w:val="tab"/>
      <w:lvlText w:val="-"/>
      <w:lvlJc w:val="left"/>
      <w:pPr>
        <w:ind w:hanging="360" w:left="720"/>
      </w:pPr>
      <w:rPr>
        <w:rFonts w:ascii="Courier New" w:hAnsi="Courier New"/>
      </w:rPr>
    </w:lvl>
    <w:lvl w:ilvl="1" w:tplc="7BB0B95E">
      <w:start w:val="1"/>
      <w:numFmt w:val="bullet"/>
      <w:suff w:val="tab"/>
      <w:lvlText w:val="o"/>
      <w:lvlJc w:val="left"/>
      <w:pPr>
        <w:ind w:hanging="360" w:left="1440"/>
      </w:pPr>
      <w:rPr>
        <w:rFonts w:ascii="Courier New" w:hAnsi="Courier New"/>
      </w:rPr>
    </w:lvl>
    <w:lvl w:ilvl="2" w:tplc="5CEFBCE2">
      <w:start w:val="1"/>
      <w:numFmt w:val="bullet"/>
      <w:suff w:val="tab"/>
      <w:lvlText w:val=""/>
      <w:lvlJc w:val="left"/>
      <w:pPr>
        <w:ind w:hanging="360" w:left="2160"/>
      </w:pPr>
      <w:rPr>
        <w:rFonts w:ascii="Wingdings" w:hAnsi="Wingdings"/>
      </w:rPr>
    </w:lvl>
    <w:lvl w:ilvl="3" w:tplc="64E694F4">
      <w:start w:val="1"/>
      <w:numFmt w:val="bullet"/>
      <w:suff w:val="tab"/>
      <w:lvlText w:val=""/>
      <w:lvlJc w:val="left"/>
      <w:pPr>
        <w:ind w:hanging="360" w:left="2880"/>
      </w:pPr>
      <w:rPr>
        <w:rFonts w:ascii="Symbol" w:hAnsi="Symbol"/>
      </w:rPr>
    </w:lvl>
    <w:lvl w:ilvl="4" w:tplc="6DC36E65">
      <w:start w:val="1"/>
      <w:numFmt w:val="bullet"/>
      <w:suff w:val="tab"/>
      <w:lvlText w:val="o"/>
      <w:lvlJc w:val="left"/>
      <w:pPr>
        <w:ind w:hanging="360" w:left="3600"/>
      </w:pPr>
      <w:rPr>
        <w:rFonts w:ascii="Courier New" w:hAnsi="Courier New"/>
      </w:rPr>
    </w:lvl>
    <w:lvl w:ilvl="5" w:tplc="6A1E8748">
      <w:start w:val="1"/>
      <w:numFmt w:val="bullet"/>
      <w:suff w:val="tab"/>
      <w:lvlText w:val=""/>
      <w:lvlJc w:val="left"/>
      <w:pPr>
        <w:ind w:hanging="360" w:left="4320"/>
      </w:pPr>
      <w:rPr>
        <w:rFonts w:ascii="Wingdings" w:hAnsi="Wingdings"/>
      </w:rPr>
    </w:lvl>
    <w:lvl w:ilvl="6" w:tplc="715DFF04">
      <w:start w:val="1"/>
      <w:numFmt w:val="bullet"/>
      <w:suff w:val="tab"/>
      <w:lvlText w:val=""/>
      <w:lvlJc w:val="left"/>
      <w:pPr>
        <w:ind w:hanging="360" w:left="5040"/>
      </w:pPr>
      <w:rPr>
        <w:rFonts w:ascii="Symbol" w:hAnsi="Symbol"/>
      </w:rPr>
    </w:lvl>
    <w:lvl w:ilvl="7" w:tplc="387D44BF">
      <w:start w:val="1"/>
      <w:numFmt w:val="bullet"/>
      <w:suff w:val="tab"/>
      <w:lvlText w:val="o"/>
      <w:lvlJc w:val="left"/>
      <w:pPr>
        <w:ind w:hanging="360" w:left="5760"/>
      </w:pPr>
      <w:rPr>
        <w:rFonts w:ascii="Courier New" w:hAnsi="Courier New"/>
      </w:rPr>
    </w:lvl>
    <w:lvl w:ilvl="8" w:tplc="7C703D72">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07F3E4C">
      <w:start w:val="1"/>
      <w:numFmt w:val="bullet"/>
      <w:suff w:val="tab"/>
      <w:lvlText w:val=""/>
      <w:lvlJc w:val="left"/>
      <w:pPr>
        <w:ind w:hanging="360" w:left="1146"/>
      </w:pPr>
      <w:rPr>
        <w:rFonts w:ascii="Symbol" w:hAnsi="Symbol"/>
      </w:rPr>
    </w:lvl>
    <w:lvl w:ilvl="1" w:tplc="0FC1E32B">
      <w:start w:val="1"/>
      <w:numFmt w:val="bullet"/>
      <w:suff w:val="tab"/>
      <w:lvlText w:val="o"/>
      <w:lvlJc w:val="left"/>
      <w:pPr>
        <w:ind w:hanging="360" w:left="1866"/>
      </w:pPr>
      <w:rPr>
        <w:rFonts w:ascii="Courier New" w:hAnsi="Courier New"/>
      </w:rPr>
    </w:lvl>
    <w:lvl w:ilvl="2" w:tplc="13F36ABB">
      <w:start w:val="1"/>
      <w:numFmt w:val="bullet"/>
      <w:suff w:val="tab"/>
      <w:lvlText w:val=""/>
      <w:lvlJc w:val="left"/>
      <w:pPr>
        <w:ind w:hanging="360" w:left="2586"/>
      </w:pPr>
      <w:rPr>
        <w:rFonts w:ascii="Wingdings" w:hAnsi="Wingdings"/>
      </w:rPr>
    </w:lvl>
    <w:lvl w:ilvl="3" w:tplc="01612719">
      <w:start w:val="1"/>
      <w:numFmt w:val="bullet"/>
      <w:suff w:val="tab"/>
      <w:lvlText w:val=""/>
      <w:lvlJc w:val="left"/>
      <w:pPr>
        <w:ind w:hanging="360" w:left="3306"/>
      </w:pPr>
      <w:rPr>
        <w:rFonts w:ascii="Symbol" w:hAnsi="Symbol"/>
      </w:rPr>
    </w:lvl>
    <w:lvl w:ilvl="4" w:tplc="17F10934">
      <w:start w:val="1"/>
      <w:numFmt w:val="bullet"/>
      <w:suff w:val="tab"/>
      <w:lvlText w:val="o"/>
      <w:lvlJc w:val="left"/>
      <w:pPr>
        <w:ind w:hanging="360" w:left="4026"/>
      </w:pPr>
      <w:rPr>
        <w:rFonts w:ascii="Courier New" w:hAnsi="Courier New"/>
      </w:rPr>
    </w:lvl>
    <w:lvl w:ilvl="5" w:tplc="141E9135">
      <w:start w:val="1"/>
      <w:numFmt w:val="bullet"/>
      <w:suff w:val="tab"/>
      <w:lvlText w:val=""/>
      <w:lvlJc w:val="left"/>
      <w:pPr>
        <w:ind w:hanging="360" w:left="4746"/>
      </w:pPr>
      <w:rPr>
        <w:rFonts w:ascii="Wingdings" w:hAnsi="Wingdings"/>
      </w:rPr>
    </w:lvl>
    <w:lvl w:ilvl="6" w:tplc="59D65D28">
      <w:start w:val="1"/>
      <w:numFmt w:val="bullet"/>
      <w:suff w:val="tab"/>
      <w:lvlText w:val=""/>
      <w:lvlJc w:val="left"/>
      <w:pPr>
        <w:ind w:hanging="360" w:left="5466"/>
      </w:pPr>
      <w:rPr>
        <w:rFonts w:ascii="Symbol" w:hAnsi="Symbol"/>
      </w:rPr>
    </w:lvl>
    <w:lvl w:ilvl="7" w:tplc="0380B4D8">
      <w:start w:val="1"/>
      <w:numFmt w:val="bullet"/>
      <w:suff w:val="tab"/>
      <w:lvlText w:val="o"/>
      <w:lvlJc w:val="left"/>
      <w:pPr>
        <w:ind w:hanging="360" w:left="6186"/>
      </w:pPr>
      <w:rPr>
        <w:rFonts w:ascii="Courier New" w:hAnsi="Courier New"/>
      </w:rPr>
    </w:lvl>
    <w:lvl w:ilvl="8" w:tplc="5C786013">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026348E3">
      <w:start w:val="0"/>
      <w:numFmt w:val="bullet"/>
      <w:suff w:val="tab"/>
      <w:lvlText w:val=""/>
      <w:lvlJc w:val="left"/>
      <w:pPr>
        <w:ind w:hanging="360" w:left="1288"/>
      </w:pPr>
      <w:rPr>
        <w:rFonts w:ascii="Symbol" w:hAnsi="Symbol"/>
      </w:rPr>
    </w:lvl>
    <w:lvl w:ilvl="1" w:tplc="19D18C94">
      <w:start w:val="1"/>
      <w:numFmt w:val="bullet"/>
      <w:suff w:val="tab"/>
      <w:lvlText w:val="o"/>
      <w:lvlJc w:val="left"/>
      <w:pPr>
        <w:ind w:hanging="360" w:left="2008"/>
      </w:pPr>
      <w:rPr>
        <w:rFonts w:ascii="Courier New" w:hAnsi="Courier New"/>
      </w:rPr>
    </w:lvl>
    <w:lvl w:ilvl="2" w:tplc="01C0B963">
      <w:start w:val="1"/>
      <w:numFmt w:val="bullet"/>
      <w:suff w:val="tab"/>
      <w:lvlText w:val=""/>
      <w:lvlJc w:val="left"/>
      <w:pPr>
        <w:ind w:hanging="360" w:left="2728"/>
      </w:pPr>
      <w:rPr>
        <w:rFonts w:ascii="Wingdings" w:hAnsi="Wingdings"/>
      </w:rPr>
    </w:lvl>
    <w:lvl w:ilvl="3" w:tplc="2EDB2CC3">
      <w:start w:val="1"/>
      <w:numFmt w:val="bullet"/>
      <w:suff w:val="tab"/>
      <w:lvlText w:val=""/>
      <w:lvlJc w:val="left"/>
      <w:pPr>
        <w:ind w:hanging="360" w:left="3448"/>
      </w:pPr>
      <w:rPr>
        <w:rFonts w:ascii="Symbol" w:hAnsi="Symbol"/>
      </w:rPr>
    </w:lvl>
    <w:lvl w:ilvl="4" w:tplc="0A5BD693">
      <w:start w:val="1"/>
      <w:numFmt w:val="bullet"/>
      <w:suff w:val="tab"/>
      <w:lvlText w:val="o"/>
      <w:lvlJc w:val="left"/>
      <w:pPr>
        <w:ind w:hanging="360" w:left="4168"/>
      </w:pPr>
      <w:rPr>
        <w:rFonts w:ascii="Courier New" w:hAnsi="Courier New"/>
      </w:rPr>
    </w:lvl>
    <w:lvl w:ilvl="5" w:tplc="7F877A9B">
      <w:start w:val="1"/>
      <w:numFmt w:val="bullet"/>
      <w:suff w:val="tab"/>
      <w:lvlText w:val=""/>
      <w:lvlJc w:val="left"/>
      <w:pPr>
        <w:ind w:hanging="360" w:left="4888"/>
      </w:pPr>
      <w:rPr>
        <w:rFonts w:ascii="Wingdings" w:hAnsi="Wingdings"/>
      </w:rPr>
    </w:lvl>
    <w:lvl w:ilvl="6" w:tplc="393B57ED">
      <w:start w:val="1"/>
      <w:numFmt w:val="bullet"/>
      <w:suff w:val="tab"/>
      <w:lvlText w:val=""/>
      <w:lvlJc w:val="left"/>
      <w:pPr>
        <w:ind w:hanging="360" w:left="5608"/>
      </w:pPr>
      <w:rPr>
        <w:rFonts w:ascii="Symbol" w:hAnsi="Symbol"/>
      </w:rPr>
    </w:lvl>
    <w:lvl w:ilvl="7" w:tplc="7D16DA4F">
      <w:start w:val="1"/>
      <w:numFmt w:val="bullet"/>
      <w:suff w:val="tab"/>
      <w:lvlText w:val="o"/>
      <w:lvlJc w:val="left"/>
      <w:pPr>
        <w:ind w:hanging="360" w:left="6328"/>
      </w:pPr>
      <w:rPr>
        <w:rFonts w:ascii="Courier New" w:hAnsi="Courier New"/>
      </w:rPr>
    </w:lvl>
    <w:lvl w:ilvl="8" w:tplc="3A71D015">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603D7FD">
      <w:start w:val="0"/>
      <w:numFmt w:val="bullet"/>
      <w:suff w:val="tab"/>
      <w:lvlText w:val=""/>
      <w:lvlJc w:val="left"/>
      <w:pPr>
        <w:ind w:hanging="360" w:left="927"/>
      </w:pPr>
      <w:rPr>
        <w:rFonts w:ascii="Symbol" w:hAnsi="Symbol"/>
      </w:rPr>
    </w:lvl>
    <w:lvl w:ilvl="1" w:tplc="47EB6673">
      <w:start w:val="1"/>
      <w:numFmt w:val="bullet"/>
      <w:suff w:val="tab"/>
      <w:lvlText w:val="o"/>
      <w:lvlJc w:val="left"/>
      <w:pPr>
        <w:ind w:hanging="360" w:left="1647"/>
      </w:pPr>
      <w:rPr>
        <w:rFonts w:ascii="Courier New" w:hAnsi="Courier New"/>
      </w:rPr>
    </w:lvl>
    <w:lvl w:ilvl="2" w:tplc="37755FDB">
      <w:start w:val="1"/>
      <w:numFmt w:val="bullet"/>
      <w:suff w:val="tab"/>
      <w:lvlText w:val=""/>
      <w:lvlJc w:val="left"/>
      <w:pPr>
        <w:ind w:hanging="360" w:left="2367"/>
      </w:pPr>
      <w:rPr>
        <w:rFonts w:ascii="Wingdings" w:hAnsi="Wingdings"/>
      </w:rPr>
    </w:lvl>
    <w:lvl w:ilvl="3" w:tplc="5F73948E">
      <w:start w:val="1"/>
      <w:numFmt w:val="bullet"/>
      <w:suff w:val="tab"/>
      <w:lvlText w:val=""/>
      <w:lvlJc w:val="left"/>
      <w:pPr>
        <w:ind w:hanging="360" w:left="3087"/>
      </w:pPr>
      <w:rPr>
        <w:rFonts w:ascii="Symbol" w:hAnsi="Symbol"/>
      </w:rPr>
    </w:lvl>
    <w:lvl w:ilvl="4" w:tplc="5CB4DB67">
      <w:start w:val="1"/>
      <w:numFmt w:val="bullet"/>
      <w:suff w:val="tab"/>
      <w:lvlText w:val="o"/>
      <w:lvlJc w:val="left"/>
      <w:pPr>
        <w:ind w:hanging="360" w:left="3807"/>
      </w:pPr>
      <w:rPr>
        <w:rFonts w:ascii="Courier New" w:hAnsi="Courier New"/>
      </w:rPr>
    </w:lvl>
    <w:lvl w:ilvl="5" w:tplc="4295B461">
      <w:start w:val="1"/>
      <w:numFmt w:val="bullet"/>
      <w:suff w:val="tab"/>
      <w:lvlText w:val=""/>
      <w:lvlJc w:val="left"/>
      <w:pPr>
        <w:ind w:hanging="360" w:left="4527"/>
      </w:pPr>
      <w:rPr>
        <w:rFonts w:ascii="Wingdings" w:hAnsi="Wingdings"/>
      </w:rPr>
    </w:lvl>
    <w:lvl w:ilvl="6" w:tplc="08110ECD">
      <w:start w:val="1"/>
      <w:numFmt w:val="bullet"/>
      <w:suff w:val="tab"/>
      <w:lvlText w:val=""/>
      <w:lvlJc w:val="left"/>
      <w:pPr>
        <w:ind w:hanging="360" w:left="5247"/>
      </w:pPr>
      <w:rPr>
        <w:rFonts w:ascii="Symbol" w:hAnsi="Symbol"/>
      </w:rPr>
    </w:lvl>
    <w:lvl w:ilvl="7" w:tplc="3BF0736D">
      <w:start w:val="1"/>
      <w:numFmt w:val="bullet"/>
      <w:suff w:val="tab"/>
      <w:lvlText w:val="o"/>
      <w:lvlJc w:val="left"/>
      <w:pPr>
        <w:ind w:hanging="360" w:left="5967"/>
      </w:pPr>
      <w:rPr>
        <w:rFonts w:ascii="Courier New" w:hAnsi="Courier New"/>
      </w:rPr>
    </w:lvl>
    <w:lvl w:ilvl="8" w:tplc="3C00E5B2">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FCF967D">
      <w:start w:val="1"/>
      <w:numFmt w:val="bullet"/>
      <w:suff w:val="tab"/>
      <w:lvlText w:val=""/>
      <w:lvlJc w:val="left"/>
      <w:pPr>
        <w:ind w:hanging="360" w:left="1146"/>
      </w:pPr>
      <w:rPr>
        <w:rFonts w:ascii="Symbol" w:hAnsi="Symbol"/>
      </w:rPr>
    </w:lvl>
    <w:lvl w:ilvl="1" w:tplc="07A72B31">
      <w:start w:val="1"/>
      <w:numFmt w:val="bullet"/>
      <w:suff w:val="tab"/>
      <w:lvlText w:val="o"/>
      <w:lvlJc w:val="left"/>
      <w:pPr>
        <w:ind w:hanging="360" w:left="1866"/>
      </w:pPr>
      <w:rPr>
        <w:rFonts w:ascii="Courier New" w:hAnsi="Courier New"/>
      </w:rPr>
    </w:lvl>
    <w:lvl w:ilvl="2" w:tplc="2B5D8BA6">
      <w:start w:val="1"/>
      <w:numFmt w:val="bullet"/>
      <w:suff w:val="tab"/>
      <w:lvlText w:val=""/>
      <w:lvlJc w:val="left"/>
      <w:pPr>
        <w:ind w:hanging="360" w:left="2586"/>
      </w:pPr>
      <w:rPr>
        <w:rFonts w:ascii="Wingdings" w:hAnsi="Wingdings"/>
      </w:rPr>
    </w:lvl>
    <w:lvl w:ilvl="3" w:tplc="266D46BF">
      <w:start w:val="1"/>
      <w:numFmt w:val="bullet"/>
      <w:suff w:val="tab"/>
      <w:lvlText w:val=""/>
      <w:lvlJc w:val="left"/>
      <w:pPr>
        <w:ind w:hanging="360" w:left="3306"/>
      </w:pPr>
      <w:rPr>
        <w:rFonts w:ascii="Symbol" w:hAnsi="Symbol"/>
      </w:rPr>
    </w:lvl>
    <w:lvl w:ilvl="4" w:tplc="09DFBEA4">
      <w:start w:val="1"/>
      <w:numFmt w:val="bullet"/>
      <w:suff w:val="tab"/>
      <w:lvlText w:val="o"/>
      <w:lvlJc w:val="left"/>
      <w:pPr>
        <w:ind w:hanging="360" w:left="4026"/>
      </w:pPr>
      <w:rPr>
        <w:rFonts w:ascii="Courier New" w:hAnsi="Courier New"/>
      </w:rPr>
    </w:lvl>
    <w:lvl w:ilvl="5" w:tplc="53CFB8AA">
      <w:start w:val="1"/>
      <w:numFmt w:val="bullet"/>
      <w:suff w:val="tab"/>
      <w:lvlText w:val=""/>
      <w:lvlJc w:val="left"/>
      <w:pPr>
        <w:ind w:hanging="360" w:left="4746"/>
      </w:pPr>
      <w:rPr>
        <w:rFonts w:ascii="Wingdings" w:hAnsi="Wingdings"/>
      </w:rPr>
    </w:lvl>
    <w:lvl w:ilvl="6" w:tplc="7F009B1C">
      <w:start w:val="1"/>
      <w:numFmt w:val="bullet"/>
      <w:suff w:val="tab"/>
      <w:lvlText w:val=""/>
      <w:lvlJc w:val="left"/>
      <w:pPr>
        <w:ind w:hanging="360" w:left="5466"/>
      </w:pPr>
      <w:rPr>
        <w:rFonts w:ascii="Symbol" w:hAnsi="Symbol"/>
      </w:rPr>
    </w:lvl>
    <w:lvl w:ilvl="7" w:tplc="5C1014B8">
      <w:start w:val="1"/>
      <w:numFmt w:val="bullet"/>
      <w:suff w:val="tab"/>
      <w:lvlText w:val="o"/>
      <w:lvlJc w:val="left"/>
      <w:pPr>
        <w:ind w:hanging="360" w:left="6186"/>
      </w:pPr>
      <w:rPr>
        <w:rFonts w:ascii="Courier New" w:hAnsi="Courier New"/>
      </w:rPr>
    </w:lvl>
    <w:lvl w:ilvl="8" w:tplc="401406C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FF09DBD">
      <w:start w:val="0"/>
      <w:numFmt w:val="bullet"/>
      <w:suff w:val="tab"/>
      <w:lvlText w:val="-"/>
      <w:lvlJc w:val="left"/>
      <w:pPr>
        <w:ind w:hanging="360" w:left="720"/>
        <w:tabs>
          <w:tab w:val="left" w:pos="720" w:leader="none"/>
        </w:tabs>
      </w:pPr>
      <w:rPr>
        <w:rFonts w:ascii="Times New Roman" w:hAnsi="Times New Roman"/>
      </w:rPr>
    </w:lvl>
    <w:lvl w:ilvl="1" w:tplc="5D94FD3E">
      <w:start w:val="1"/>
      <w:numFmt w:val="bullet"/>
      <w:suff w:val="tab"/>
      <w:lvlText w:val="o"/>
      <w:lvlJc w:val="left"/>
      <w:pPr>
        <w:ind w:hanging="360" w:left="1440"/>
        <w:tabs>
          <w:tab w:val="left" w:pos="1440" w:leader="none"/>
        </w:tabs>
      </w:pPr>
      <w:rPr>
        <w:rFonts w:ascii="Courier New" w:hAnsi="Courier New"/>
      </w:rPr>
    </w:lvl>
    <w:lvl w:ilvl="2" w:tplc="044FEAFD">
      <w:start w:val="1"/>
      <w:numFmt w:val="bullet"/>
      <w:suff w:val="tab"/>
      <w:lvlText w:val=""/>
      <w:lvlJc w:val="left"/>
      <w:pPr>
        <w:ind w:hanging="360" w:left="2160"/>
        <w:tabs>
          <w:tab w:val="left" w:pos="2160" w:leader="none"/>
        </w:tabs>
      </w:pPr>
      <w:rPr>
        <w:rFonts w:ascii="Wingdings" w:hAnsi="Wingdings"/>
      </w:rPr>
    </w:lvl>
    <w:lvl w:ilvl="3" w:tplc="3DE6AA36">
      <w:start w:val="1"/>
      <w:numFmt w:val="bullet"/>
      <w:suff w:val="tab"/>
      <w:lvlText w:val=""/>
      <w:lvlJc w:val="left"/>
      <w:pPr>
        <w:ind w:hanging="360" w:left="2880"/>
        <w:tabs>
          <w:tab w:val="left" w:pos="2880" w:leader="none"/>
        </w:tabs>
      </w:pPr>
      <w:rPr>
        <w:rFonts w:ascii="Symbol" w:hAnsi="Symbol"/>
      </w:rPr>
    </w:lvl>
    <w:lvl w:ilvl="4" w:tplc="187E4C69">
      <w:start w:val="1"/>
      <w:numFmt w:val="bullet"/>
      <w:suff w:val="tab"/>
      <w:lvlText w:val="o"/>
      <w:lvlJc w:val="left"/>
      <w:pPr>
        <w:ind w:hanging="360" w:left="3600"/>
        <w:tabs>
          <w:tab w:val="left" w:pos="3600" w:leader="none"/>
        </w:tabs>
      </w:pPr>
      <w:rPr>
        <w:rFonts w:ascii="Courier New" w:hAnsi="Courier New"/>
      </w:rPr>
    </w:lvl>
    <w:lvl w:ilvl="5" w:tplc="7CD2CD76">
      <w:start w:val="1"/>
      <w:numFmt w:val="bullet"/>
      <w:suff w:val="tab"/>
      <w:lvlText w:val=""/>
      <w:lvlJc w:val="left"/>
      <w:pPr>
        <w:ind w:hanging="360" w:left="4320"/>
        <w:tabs>
          <w:tab w:val="left" w:pos="4320" w:leader="none"/>
        </w:tabs>
      </w:pPr>
      <w:rPr>
        <w:rFonts w:ascii="Wingdings" w:hAnsi="Wingdings"/>
      </w:rPr>
    </w:lvl>
    <w:lvl w:ilvl="6" w:tplc="4DA41B42">
      <w:start w:val="1"/>
      <w:numFmt w:val="bullet"/>
      <w:suff w:val="tab"/>
      <w:lvlText w:val=""/>
      <w:lvlJc w:val="left"/>
      <w:pPr>
        <w:ind w:hanging="360" w:left="5040"/>
        <w:tabs>
          <w:tab w:val="left" w:pos="5040" w:leader="none"/>
        </w:tabs>
      </w:pPr>
      <w:rPr>
        <w:rFonts w:ascii="Symbol" w:hAnsi="Symbol"/>
      </w:rPr>
    </w:lvl>
    <w:lvl w:ilvl="7" w:tplc="7761401D">
      <w:start w:val="1"/>
      <w:numFmt w:val="bullet"/>
      <w:suff w:val="tab"/>
      <w:lvlText w:val="o"/>
      <w:lvlJc w:val="left"/>
      <w:pPr>
        <w:ind w:hanging="360" w:left="5760"/>
        <w:tabs>
          <w:tab w:val="left" w:pos="5760" w:leader="none"/>
        </w:tabs>
      </w:pPr>
      <w:rPr>
        <w:rFonts w:ascii="Courier New" w:hAnsi="Courier New"/>
      </w:rPr>
    </w:lvl>
    <w:lvl w:ilvl="8" w:tplc="4662884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0E2ADCF">
      <w:start w:val="1"/>
      <w:numFmt w:val="bullet"/>
      <w:suff w:val="tab"/>
      <w:lvlText w:val=""/>
      <w:lvlJc w:val="left"/>
      <w:pPr>
        <w:ind w:hanging="360" w:left="1146"/>
      </w:pPr>
      <w:rPr>
        <w:rFonts w:ascii="Symbol" w:hAnsi="Symbol"/>
      </w:rPr>
    </w:lvl>
    <w:lvl w:ilvl="1" w:tplc="09E61ECA">
      <w:start w:val="1"/>
      <w:numFmt w:val="bullet"/>
      <w:suff w:val="tab"/>
      <w:lvlText w:val="o"/>
      <w:lvlJc w:val="left"/>
      <w:pPr>
        <w:ind w:hanging="360" w:left="1866"/>
      </w:pPr>
      <w:rPr>
        <w:rFonts w:ascii="Courier New" w:hAnsi="Courier New"/>
      </w:rPr>
    </w:lvl>
    <w:lvl w:ilvl="2" w:tplc="7154E3CB">
      <w:start w:val="1"/>
      <w:numFmt w:val="bullet"/>
      <w:suff w:val="tab"/>
      <w:lvlText w:val=""/>
      <w:lvlJc w:val="left"/>
      <w:pPr>
        <w:ind w:hanging="360" w:left="2586"/>
      </w:pPr>
      <w:rPr>
        <w:rFonts w:ascii="Wingdings" w:hAnsi="Wingdings"/>
      </w:rPr>
    </w:lvl>
    <w:lvl w:ilvl="3" w:tplc="5D684245">
      <w:start w:val="1"/>
      <w:numFmt w:val="bullet"/>
      <w:suff w:val="tab"/>
      <w:lvlText w:val=""/>
      <w:lvlJc w:val="left"/>
      <w:pPr>
        <w:ind w:hanging="360" w:left="3306"/>
      </w:pPr>
      <w:rPr>
        <w:rFonts w:ascii="Symbol" w:hAnsi="Symbol"/>
      </w:rPr>
    </w:lvl>
    <w:lvl w:ilvl="4" w:tplc="2BAB3E06">
      <w:start w:val="1"/>
      <w:numFmt w:val="bullet"/>
      <w:suff w:val="tab"/>
      <w:lvlText w:val="o"/>
      <w:lvlJc w:val="left"/>
      <w:pPr>
        <w:ind w:hanging="360" w:left="4026"/>
      </w:pPr>
      <w:rPr>
        <w:rFonts w:ascii="Courier New" w:hAnsi="Courier New"/>
      </w:rPr>
    </w:lvl>
    <w:lvl w:ilvl="5" w:tplc="70AC9414">
      <w:start w:val="1"/>
      <w:numFmt w:val="bullet"/>
      <w:suff w:val="tab"/>
      <w:lvlText w:val=""/>
      <w:lvlJc w:val="left"/>
      <w:pPr>
        <w:ind w:hanging="360" w:left="4746"/>
      </w:pPr>
      <w:rPr>
        <w:rFonts w:ascii="Wingdings" w:hAnsi="Wingdings"/>
      </w:rPr>
    </w:lvl>
    <w:lvl w:ilvl="6" w:tplc="2FACB833">
      <w:start w:val="1"/>
      <w:numFmt w:val="bullet"/>
      <w:suff w:val="tab"/>
      <w:lvlText w:val=""/>
      <w:lvlJc w:val="left"/>
      <w:pPr>
        <w:ind w:hanging="360" w:left="5466"/>
      </w:pPr>
      <w:rPr>
        <w:rFonts w:ascii="Symbol" w:hAnsi="Symbol"/>
      </w:rPr>
    </w:lvl>
    <w:lvl w:ilvl="7" w:tplc="6B5A2806">
      <w:start w:val="1"/>
      <w:numFmt w:val="bullet"/>
      <w:suff w:val="tab"/>
      <w:lvlText w:val="o"/>
      <w:lvlJc w:val="left"/>
      <w:pPr>
        <w:ind w:hanging="360" w:left="6186"/>
      </w:pPr>
      <w:rPr>
        <w:rFonts w:ascii="Courier New" w:hAnsi="Courier New"/>
      </w:rPr>
    </w:lvl>
    <w:lvl w:ilvl="8" w:tplc="7091DE4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4FADE97">
      <w:start w:val="1"/>
      <w:numFmt w:val="bullet"/>
      <w:suff w:val="tab"/>
      <w:lvlText w:val=""/>
      <w:lvlJc w:val="left"/>
      <w:pPr>
        <w:ind w:hanging="360" w:left="720"/>
        <w:tabs>
          <w:tab w:val="left" w:pos="720" w:leader="none"/>
        </w:tabs>
      </w:pPr>
      <w:rPr>
        <w:rFonts w:ascii="Symbol" w:hAnsi="Symbol"/>
      </w:rPr>
    </w:lvl>
    <w:lvl w:ilvl="1" w:tplc="110BAABD">
      <w:start w:val="1"/>
      <w:numFmt w:val="bullet"/>
      <w:suff w:val="tab"/>
      <w:lvlText w:val="o"/>
      <w:lvlJc w:val="left"/>
      <w:pPr>
        <w:ind w:hanging="360" w:left="1440"/>
        <w:tabs>
          <w:tab w:val="left" w:pos="1440" w:leader="none"/>
        </w:tabs>
      </w:pPr>
      <w:rPr>
        <w:rFonts w:ascii="Courier New" w:hAnsi="Courier New"/>
      </w:rPr>
    </w:lvl>
    <w:lvl w:ilvl="2" w:tplc="330D07C2">
      <w:start w:val="1"/>
      <w:numFmt w:val="bullet"/>
      <w:suff w:val="tab"/>
      <w:lvlText w:val=""/>
      <w:lvlJc w:val="left"/>
      <w:pPr>
        <w:ind w:hanging="360" w:left="2160"/>
        <w:tabs>
          <w:tab w:val="left" w:pos="2160" w:leader="none"/>
        </w:tabs>
      </w:pPr>
      <w:rPr>
        <w:rFonts w:ascii="Wingdings" w:hAnsi="Wingdings"/>
      </w:rPr>
    </w:lvl>
    <w:lvl w:ilvl="3" w:tplc="515DB658">
      <w:start w:val="1"/>
      <w:numFmt w:val="bullet"/>
      <w:suff w:val="tab"/>
      <w:lvlText w:val=""/>
      <w:lvlJc w:val="left"/>
      <w:pPr>
        <w:ind w:hanging="360" w:left="2880"/>
        <w:tabs>
          <w:tab w:val="left" w:pos="2880" w:leader="none"/>
        </w:tabs>
      </w:pPr>
      <w:rPr>
        <w:rFonts w:ascii="Symbol" w:hAnsi="Symbol"/>
      </w:rPr>
    </w:lvl>
    <w:lvl w:ilvl="4" w:tplc="7950184A">
      <w:start w:val="1"/>
      <w:numFmt w:val="bullet"/>
      <w:suff w:val="tab"/>
      <w:lvlText w:val="o"/>
      <w:lvlJc w:val="left"/>
      <w:pPr>
        <w:ind w:hanging="360" w:left="3600"/>
        <w:tabs>
          <w:tab w:val="left" w:pos="3600" w:leader="none"/>
        </w:tabs>
      </w:pPr>
      <w:rPr>
        <w:rFonts w:ascii="Courier New" w:hAnsi="Courier New"/>
      </w:rPr>
    </w:lvl>
    <w:lvl w:ilvl="5" w:tplc="5C0095C5">
      <w:start w:val="1"/>
      <w:numFmt w:val="bullet"/>
      <w:suff w:val="tab"/>
      <w:lvlText w:val=""/>
      <w:lvlJc w:val="left"/>
      <w:pPr>
        <w:ind w:hanging="360" w:left="4320"/>
        <w:tabs>
          <w:tab w:val="left" w:pos="4320" w:leader="none"/>
        </w:tabs>
      </w:pPr>
      <w:rPr>
        <w:rFonts w:ascii="Wingdings" w:hAnsi="Wingdings"/>
      </w:rPr>
    </w:lvl>
    <w:lvl w:ilvl="6" w:tplc="581DAB81">
      <w:start w:val="1"/>
      <w:numFmt w:val="bullet"/>
      <w:suff w:val="tab"/>
      <w:lvlText w:val=""/>
      <w:lvlJc w:val="left"/>
      <w:pPr>
        <w:ind w:hanging="360" w:left="5040"/>
        <w:tabs>
          <w:tab w:val="left" w:pos="5040" w:leader="none"/>
        </w:tabs>
      </w:pPr>
      <w:rPr>
        <w:rFonts w:ascii="Symbol" w:hAnsi="Symbol"/>
      </w:rPr>
    </w:lvl>
    <w:lvl w:ilvl="7" w:tplc="2A06C7AA">
      <w:start w:val="1"/>
      <w:numFmt w:val="bullet"/>
      <w:suff w:val="tab"/>
      <w:lvlText w:val="o"/>
      <w:lvlJc w:val="left"/>
      <w:pPr>
        <w:ind w:hanging="360" w:left="5760"/>
        <w:tabs>
          <w:tab w:val="left" w:pos="5760" w:leader="none"/>
        </w:tabs>
      </w:pPr>
      <w:rPr>
        <w:rFonts w:ascii="Courier New" w:hAnsi="Courier New"/>
      </w:rPr>
    </w:lvl>
    <w:lvl w:ilvl="8" w:tplc="7BD989A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11AD56C">
      <w:start w:val="1"/>
      <w:numFmt w:val="bullet"/>
      <w:suff w:val="tab"/>
      <w:lvlText w:val=""/>
      <w:lvlJc w:val="left"/>
      <w:pPr>
        <w:ind w:hanging="360" w:left="936"/>
      </w:pPr>
      <w:rPr>
        <w:rFonts w:ascii="Symbol" w:hAnsi="Symbol"/>
      </w:rPr>
    </w:lvl>
    <w:lvl w:ilvl="1" w:tplc="5BF60223">
      <w:start w:val="1"/>
      <w:numFmt w:val="bullet"/>
      <w:suff w:val="tab"/>
      <w:lvlText w:val="o"/>
      <w:lvlJc w:val="left"/>
      <w:pPr>
        <w:ind w:hanging="360" w:left="1656"/>
      </w:pPr>
      <w:rPr>
        <w:rFonts w:ascii="Courier New" w:hAnsi="Courier New"/>
      </w:rPr>
    </w:lvl>
    <w:lvl w:ilvl="2" w:tplc="0FF1CEF0">
      <w:start w:val="1"/>
      <w:numFmt w:val="bullet"/>
      <w:suff w:val="tab"/>
      <w:lvlText w:val=""/>
      <w:lvlJc w:val="left"/>
      <w:pPr>
        <w:ind w:hanging="360" w:left="2376"/>
      </w:pPr>
      <w:rPr>
        <w:rFonts w:ascii="Wingdings" w:hAnsi="Wingdings"/>
      </w:rPr>
    </w:lvl>
    <w:lvl w:ilvl="3" w:tplc="2DF100B8">
      <w:start w:val="1"/>
      <w:numFmt w:val="bullet"/>
      <w:suff w:val="tab"/>
      <w:lvlText w:val=""/>
      <w:lvlJc w:val="left"/>
      <w:pPr>
        <w:ind w:hanging="360" w:left="3096"/>
      </w:pPr>
      <w:rPr>
        <w:rFonts w:ascii="Symbol" w:hAnsi="Symbol"/>
      </w:rPr>
    </w:lvl>
    <w:lvl w:ilvl="4" w:tplc="2FDA91A5">
      <w:start w:val="1"/>
      <w:numFmt w:val="bullet"/>
      <w:suff w:val="tab"/>
      <w:lvlText w:val="o"/>
      <w:lvlJc w:val="left"/>
      <w:pPr>
        <w:ind w:hanging="360" w:left="3816"/>
      </w:pPr>
      <w:rPr>
        <w:rFonts w:ascii="Courier New" w:hAnsi="Courier New"/>
      </w:rPr>
    </w:lvl>
    <w:lvl w:ilvl="5" w:tplc="2E4BC1D9">
      <w:start w:val="1"/>
      <w:numFmt w:val="bullet"/>
      <w:suff w:val="tab"/>
      <w:lvlText w:val=""/>
      <w:lvlJc w:val="left"/>
      <w:pPr>
        <w:ind w:hanging="360" w:left="4536"/>
      </w:pPr>
      <w:rPr>
        <w:rFonts w:ascii="Wingdings" w:hAnsi="Wingdings"/>
      </w:rPr>
    </w:lvl>
    <w:lvl w:ilvl="6" w:tplc="3F7374DB">
      <w:start w:val="1"/>
      <w:numFmt w:val="bullet"/>
      <w:suff w:val="tab"/>
      <w:lvlText w:val=""/>
      <w:lvlJc w:val="left"/>
      <w:pPr>
        <w:ind w:hanging="360" w:left="5256"/>
      </w:pPr>
      <w:rPr>
        <w:rFonts w:ascii="Symbol" w:hAnsi="Symbol"/>
      </w:rPr>
    </w:lvl>
    <w:lvl w:ilvl="7" w:tplc="494ABA2F">
      <w:start w:val="1"/>
      <w:numFmt w:val="bullet"/>
      <w:suff w:val="tab"/>
      <w:lvlText w:val="o"/>
      <w:lvlJc w:val="left"/>
      <w:pPr>
        <w:ind w:hanging="360" w:left="5976"/>
      </w:pPr>
      <w:rPr>
        <w:rFonts w:ascii="Courier New" w:hAnsi="Courier New"/>
      </w:rPr>
    </w:lvl>
    <w:lvl w:ilvl="8" w:tplc="1F81DE10">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3621E617">
      <w:start w:val="0"/>
      <w:numFmt w:val="bullet"/>
      <w:suff w:val="tab"/>
      <w:lvlText w:val="-"/>
      <w:lvlJc w:val="left"/>
      <w:pPr>
        <w:ind w:hanging="360" w:left="936"/>
      </w:pPr>
      <w:rPr>
        <w:rFonts w:ascii="Courier New" w:hAnsi="Courier New"/>
      </w:rPr>
    </w:lvl>
    <w:lvl w:ilvl="1" w:tplc="481D2DC6">
      <w:start w:val="1"/>
      <w:numFmt w:val="bullet"/>
      <w:suff w:val="tab"/>
      <w:lvlText w:val="o"/>
      <w:lvlJc w:val="left"/>
      <w:pPr>
        <w:ind w:hanging="360" w:left="1656"/>
      </w:pPr>
      <w:rPr>
        <w:rFonts w:ascii="Courier New" w:hAnsi="Courier New"/>
      </w:rPr>
    </w:lvl>
    <w:lvl w:ilvl="2" w:tplc="2F6D1B0A">
      <w:start w:val="1"/>
      <w:numFmt w:val="bullet"/>
      <w:suff w:val="tab"/>
      <w:lvlText w:val=""/>
      <w:lvlJc w:val="left"/>
      <w:pPr>
        <w:ind w:hanging="360" w:left="2376"/>
      </w:pPr>
      <w:rPr>
        <w:rFonts w:ascii="Wingdings" w:hAnsi="Wingdings"/>
      </w:rPr>
    </w:lvl>
    <w:lvl w:ilvl="3" w:tplc="3AA29263">
      <w:start w:val="1"/>
      <w:numFmt w:val="bullet"/>
      <w:suff w:val="tab"/>
      <w:lvlText w:val=""/>
      <w:lvlJc w:val="left"/>
      <w:pPr>
        <w:ind w:hanging="360" w:left="3096"/>
      </w:pPr>
      <w:rPr>
        <w:rFonts w:ascii="Symbol" w:hAnsi="Symbol"/>
      </w:rPr>
    </w:lvl>
    <w:lvl w:ilvl="4" w:tplc="11CF7A4B">
      <w:start w:val="1"/>
      <w:numFmt w:val="bullet"/>
      <w:suff w:val="tab"/>
      <w:lvlText w:val="o"/>
      <w:lvlJc w:val="left"/>
      <w:pPr>
        <w:ind w:hanging="360" w:left="3816"/>
      </w:pPr>
      <w:rPr>
        <w:rFonts w:ascii="Courier New" w:hAnsi="Courier New"/>
      </w:rPr>
    </w:lvl>
    <w:lvl w:ilvl="5" w:tplc="65539B49">
      <w:start w:val="1"/>
      <w:numFmt w:val="bullet"/>
      <w:suff w:val="tab"/>
      <w:lvlText w:val=""/>
      <w:lvlJc w:val="left"/>
      <w:pPr>
        <w:ind w:hanging="360" w:left="4536"/>
      </w:pPr>
      <w:rPr>
        <w:rFonts w:ascii="Wingdings" w:hAnsi="Wingdings"/>
      </w:rPr>
    </w:lvl>
    <w:lvl w:ilvl="6" w:tplc="7C332C1A">
      <w:start w:val="1"/>
      <w:numFmt w:val="bullet"/>
      <w:suff w:val="tab"/>
      <w:lvlText w:val=""/>
      <w:lvlJc w:val="left"/>
      <w:pPr>
        <w:ind w:hanging="360" w:left="5256"/>
      </w:pPr>
      <w:rPr>
        <w:rFonts w:ascii="Symbol" w:hAnsi="Symbol"/>
      </w:rPr>
    </w:lvl>
    <w:lvl w:ilvl="7" w:tplc="572E60FD">
      <w:start w:val="1"/>
      <w:numFmt w:val="bullet"/>
      <w:suff w:val="tab"/>
      <w:lvlText w:val="o"/>
      <w:lvlJc w:val="left"/>
      <w:pPr>
        <w:ind w:hanging="360" w:left="5976"/>
      </w:pPr>
      <w:rPr>
        <w:rFonts w:ascii="Courier New" w:hAnsi="Courier New"/>
      </w:rPr>
    </w:lvl>
    <w:lvl w:ilvl="8" w:tplc="320A55A2">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4AAC01E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6"/>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paragraph" w:styleId="P31">
    <w:name w:val="Texto independiente primera sangría 2"/>
    <w:basedOn w:val="P12"/>
    <w:next w:val="P31"/>
    <w:link w:val="C17"/>
    <w:pPr>
      <w:spacing w:after="120"/>
      <w:ind w:firstLine="210" w:left="283"/>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Sangría de texto normal Car"/>
    <w:link w:val="P12"/>
    <w:rPr>
      <w:rFonts w:ascii="Courier New" w:hAnsi="Courier New"/>
    </w:rPr>
  </w:style>
  <w:style w:type="character" w:styleId="C17">
    <w:name w:val="Texto independiente primera sangría 2 Car"/>
    <w:basedOn w:val="C16"/>
    <w:link w:val="P31"/>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2013-12-12T15:33:00Z</dcterms:created>
  <cp:lastModifiedBy>Ethan Puglia</cp:lastModifiedBy>
  <cp:lastPrinted>2013-12-06T14:58:00Z</cp:lastPrinted>
  <dcterms:modified xsi:type="dcterms:W3CDTF">2019-03-28T17:33:16Z</dcterms:modified>
  <cp:revision>7</cp:revision>
  <dc:title>PROYECTO DE ORDENANZA VIOLENCIA FAMILIAR</dc:title>
</cp:coreProperties>
</file>