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3C0C24" Type="http://schemas.openxmlformats.org/officeDocument/2006/relationships/officeDocument" Target="/word/document.xml" /><Relationship Id="coreR283C0C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33"/>
        <w:jc w:val="center"/>
        <w:rPr>
          <w:rStyle w:val="C3"/>
          <w:rFonts w:ascii="JaneAusten" w:hAnsi="JaneAusten"/>
          <w:b w:val="1"/>
        </w:rPr>
      </w:pPr>
      <w:r>
        <w:rPr>
          <w:rStyle w:val="C3"/>
          <w:rFonts w:ascii="JaneAusten" w:hAnsi="JaneAusten"/>
          <w:b w:val="1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9666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9436 – General Impositiva;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Nº 9436 se tipifican los tributos a abonar y la forma de calcular su monto;</w:t>
      </w: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hanging="426" w:left="426"/>
      </w:pPr>
      <w:r>
        <w:rPr>
          <w:rStyle w:val="C3"/>
          <w:b w:val="1"/>
        </w:rPr>
        <w:t xml:space="preserve"> </w:t>
      </w:r>
      <w:r>
        <w:t xml:space="preserve">  Que para que un estado pueda desarrollar actividades que redunden en progreso para la ciudad y en desarrollo de sus vecinos se hace necesario contar con los recursos suficientes;</w:t>
      </w:r>
    </w:p>
    <w:p>
      <w:pPr>
        <w:pStyle w:val="P12"/>
        <w:ind w:hanging="426" w:left="426"/>
      </w:pPr>
    </w:p>
    <w:p>
      <w:pPr>
        <w:pStyle w:val="P12"/>
        <w:ind w:hanging="426" w:left="426"/>
      </w:pPr>
      <w:r>
        <w:t xml:space="preserve">   Que es criterio obtener fondos con destinación determinada y que sólo puedan ser utilizados para ese fin en lo que se refiere a obras de infraestructura o de mantenimiento de la existente tendientes a lograr la fluidez del tránsito, la capacidad edilicia de sus servicios de salud y sociales y que se reflejen como una inversión o la conservación de lo ya realizado destinado a acrecentar el valor urbano de la ciudad, lo que se verá reflejado en una mejor calidad de vida, en un mayor estándar de seguridad ciudadana y de valuación de las propiedades de los vecinos de la ciudad;</w:t>
      </w:r>
    </w:p>
    <w:p>
      <w:pPr>
        <w:pStyle w:val="P12"/>
        <w:ind w:hanging="426" w:left="426"/>
      </w:pPr>
    </w:p>
    <w:p>
      <w:pPr>
        <w:pStyle w:val="P12"/>
        <w:ind w:hanging="426" w:left="426"/>
      </w:pPr>
      <w:r>
        <w:t xml:space="preserve">   Que evaluado el proyecto de ordenanza por el Concejo en Comisión y habiéndose cumplido el procedimiento de doble lectura, se emiten distintos despachos, aprobándose por mayoría en Sesión del día 18 de diciembre de 2013 el despacho favorable.</w:t>
      </w:r>
    </w:p>
    <w:p>
      <w:pPr>
        <w:pStyle w:val="P12"/>
        <w:ind w:hanging="426" w:left="426"/>
      </w:pPr>
      <w:r>
        <w:t xml:space="preserve"> </w:t>
      </w:r>
    </w:p>
    <w:p>
      <w:pPr>
        <w:pStyle w:val="P12"/>
        <w:ind w:hanging="426" w:left="426"/>
        <w:jc w:val="right"/>
      </w:pPr>
      <w:r>
        <w:t xml:space="preserve">   ...///</w:t>
      </w: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</w:p>
    <w:p>
      <w:pPr>
        <w:pStyle w:val="P12"/>
        <w:ind w:left="567"/>
        <w:jc w:val="left"/>
      </w:pPr>
      <w:r>
        <w:t>...///2.-</w:t>
      </w:r>
    </w:p>
    <w:p>
      <w:pPr>
        <w:pStyle w:val="P12"/>
        <w:ind w:left="567"/>
        <w:jc w:val="left"/>
        <w:rPr>
          <w:rStyle w:val="C3"/>
          <w:b w:val="1"/>
        </w:rPr>
      </w:pPr>
    </w:p>
    <w:p>
      <w:pPr>
        <w:pStyle w:val="P12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REEMPLAZAR</w:t>
      </w:r>
      <w:r>
        <w:rPr>
          <w:rStyle w:val="C3"/>
          <w:rFonts w:ascii="Courier New" w:hAnsi="Courier New"/>
        </w:rPr>
        <w:t xml:space="preserve"> EL Titulo XIII de la Ordenanza Nº 9436 en todas sus partes a tenor de lo siguiente: “TITULO XIII – Fondo de Infraestructura Municipal”.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MODIFÍCASE </w:t>
      </w:r>
      <w:r>
        <w:rPr>
          <w:rStyle w:val="C3"/>
          <w:rFonts w:ascii="Courier New" w:hAnsi="Courier New"/>
        </w:rPr>
        <w:t>el art. 199 de la Ordenanza Nº 9436 el que quedará redactado de la siguiente manera: “Art. 199: CRÉASE una sobretasa a los fines de solventar la generación de nuevas inversiones en infraestructura urbana y reparar la existente, consistente en un porcentaje a determinar por la Ordenanza Tarifaria que se calculará sobre las bases imponibles que determinarán las contribuciones que se establecen en los siguientes artículos.”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MODIFÍCASE </w:t>
      </w:r>
      <w:r>
        <w:rPr>
          <w:rStyle w:val="C3"/>
          <w:rFonts w:ascii="Courier New" w:hAnsi="Courier New"/>
        </w:rPr>
        <w:t xml:space="preserve">el art. 200 de la Ordenanza Nº 9436 el que quedará redactado de la siguiente manera: “Art. 200: UN porcentaje calculado sobre la base imponible de la Tasa por Servicios a la Propiedad.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 201 de la Ordenanza Nº 9436 el que quedará redactado de la siguiente manera: ”Art.201: a) Un porcentaje sobre la base imponible utilizada para determinar la contribución que incide sobre los automotores modelos de hasta 13 años de antigüedad. b) Entre los 14 y 17 años de antigüedad un monto fijo que determinará la ordenanza tarifaria. c) Entre los 18 y 20 años de antigüedad un monto fijo que determinará la ordenanza tarifaria”.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MODIFÍCASE </w:t>
      </w:r>
      <w:r>
        <w:rPr>
          <w:rStyle w:val="C3"/>
          <w:rFonts w:ascii="Courier New" w:hAnsi="Courier New"/>
        </w:rPr>
        <w:t>el art. 202 de la Ordenanza Nº 9436 el que quedará redactado de la siguiente manera: “Art. 202: El porcentaje de sobretasa será determinado por la ordenanza tarifaria.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>: RENUM</w:t>
      </w:r>
      <w:r>
        <w:rPr>
          <w:rStyle w:val="C3"/>
          <w:rFonts w:ascii="Courier New" w:hAnsi="Courier New"/>
          <w:b w:val="1"/>
        </w:rPr>
        <w:t>É</w:t>
      </w:r>
      <w:r>
        <w:rPr>
          <w:rStyle w:val="C3"/>
          <w:rFonts w:ascii="Courier New" w:hAnsi="Courier New"/>
          <w:b w:val="1"/>
        </w:rPr>
        <w:t xml:space="preserve">RESE </w:t>
      </w:r>
      <w:r>
        <w:rPr>
          <w:rStyle w:val="C3"/>
          <w:rFonts w:ascii="Courier New" w:hAnsi="Courier New"/>
        </w:rPr>
        <w:t>el TITULO XIII denominado Disposiciones Complementarias como: “ TITULO XIV – Disposiciones Complementarias.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RENUMERENSE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los art. 199 a 202 los que designaran como:”203 a 206”.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34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DADA EN LA SALA DE SESIONES DEL HONORABLE CONCEJO DELIBERANTE A LOS DIECIOCHO DÍAS DEL MES DE DICIEMBRE DEL AÑO DOS MIL TRECE.- </w:t>
      </w:r>
    </w:p>
    <w:p>
      <w:pPr>
        <w:pStyle w:val="P21"/>
        <w:rPr>
          <w:rStyle w:val="C3"/>
        </w:rPr>
      </w:pPr>
    </w:p>
    <w:sectPr>
      <w:type w:val="nextPage"/>
      <w:pgSz w:w="11906" w:h="16838" w:code="0"/>
      <w:pgMar w:left="1701" w:right="1701" w:top="1417" w:bottom="1417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01"/>
    <w:multiLevelType w:val="multilevel"/>
    <w:lvl w:ilvl="0">
      <w:start w:val="1"/>
      <w:numFmt w:val="none"/>
      <w:suff w:val="nothing"/>
      <w:lvlText w:val=""/>
      <w:lvlJc w:val="left"/>
      <w:pPr>
        <w:ind w:hanging="432" w:left="432"/>
        <w:tabs>
          <w:tab w:val="left" w:pos="432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hanging="720" w:left="720"/>
        <w:tabs>
          <w:tab w:val="left" w:pos="72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>
      <w:suppressAutoHyphens w:val="1"/>
    </w:pPr>
    <w:rPr>
      <w:sz w:val="24"/>
    </w:rPr>
  </w:style>
  <w:style w:type="paragraph" w:styleId="P1">
    <w:name w:val="Estilo"/>
    <w:next w:val="P1"/>
    <w:pPr>
      <w:widowControl w:val="0"/>
      <w:suppressAutoHyphens w:val="1"/>
    </w:pPr>
    <w:rPr/>
  </w:style>
  <w:style w:type="paragraph" w:styleId="P2">
    <w:name w:val="Título 1"/>
    <w:basedOn w:val="P0"/>
    <w:next w:val="P0"/>
    <w:qFormat/>
    <w:pPr>
      <w:keepNext w:val="1"/>
      <w:numPr>
        <w:numId w:val="1"/>
      </w:numPr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numPr>
        <w:ilvl w:val="1"/>
        <w:numId w:val="1"/>
      </w:numPr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numPr>
        <w:ilvl w:val="2"/>
        <w:numId w:val="1"/>
      </w:numPr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numPr>
        <w:ilvl w:val="3"/>
        <w:numId w:val="1"/>
      </w:numPr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numPr>
        <w:ilvl w:val="4"/>
        <w:numId w:val="1"/>
      </w:numPr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numPr>
        <w:ilvl w:val="5"/>
        <w:numId w:val="1"/>
      </w:numPr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numPr>
        <w:ilvl w:val="6"/>
        <w:numId w:val="1"/>
      </w:numPr>
      <w:ind w:firstLine="0" w:left="561" w:right="0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numPr>
        <w:ilvl w:val="7"/>
        <w:numId w:val="1"/>
      </w:numPr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numPr>
        <w:ilvl w:val="8"/>
        <w:numId w:val="1"/>
      </w:numPr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Encabezado1"/>
    <w:basedOn w:val="P0"/>
    <w:next w:val="P12"/>
    <w:pPr>
      <w:keepNext w:val="1"/>
      <w:spacing w:before="240" w:after="120"/>
    </w:pPr>
    <w:rPr>
      <w:rFonts w:ascii="Arial" w:hAnsi="Arial"/>
      <w:sz w:val="28"/>
    </w:rPr>
  </w:style>
  <w:style w:type="paragraph" w:styleId="P12">
    <w:name w:val="Texto independiente"/>
    <w:basedOn w:val="P0"/>
    <w:next w:val="P12"/>
    <w:pPr>
      <w:jc w:val="both"/>
    </w:pPr>
    <w:rPr>
      <w:rFonts w:ascii="Courier New" w:hAnsi="Courier New"/>
    </w:rPr>
  </w:style>
  <w:style w:type="paragraph" w:styleId="P13">
    <w:name w:val="Lista"/>
    <w:basedOn w:val="P0"/>
    <w:next w:val="P13"/>
    <w:pPr>
      <w:ind w:hanging="283" w:left="283" w:right="0"/>
    </w:pPr>
    <w:rPr/>
  </w:style>
  <w:style w:type="paragraph" w:styleId="P14">
    <w:name w:val="Etiqueta"/>
    <w:basedOn w:val="P0"/>
    <w:next w:val="P14"/>
    <w:pPr>
      <w:suppressLineNumbers w:val="1"/>
      <w:spacing w:before="120" w:after="120"/>
    </w:pPr>
    <w:rPr>
      <w:rFonts w:ascii="Arial" w:hAnsi="Arial"/>
      <w:i w:val="1"/>
      <w:sz w:val="24"/>
    </w:rPr>
  </w:style>
  <w:style w:type="paragraph" w:styleId="P15">
    <w:name w:val="Índice"/>
    <w:basedOn w:val="P0"/>
    <w:next w:val="P15"/>
    <w:pPr>
      <w:suppressLineNumbers w:val="1"/>
    </w:pPr>
    <w:rPr>
      <w:rFonts w:ascii="Arial" w:hAnsi="Arial"/>
    </w:rPr>
  </w:style>
  <w:style w:type="paragraph" w:styleId="P16">
    <w:name w:val="Sangría de texto normal"/>
    <w:basedOn w:val="P0"/>
    <w:next w:val="P16"/>
    <w:pPr>
      <w:ind w:firstLine="0" w:left="748" w:right="0"/>
      <w:jc w:val="both"/>
    </w:pPr>
    <w:rPr>
      <w:rFonts w:ascii="Courier New" w:hAnsi="Courier New"/>
    </w:rPr>
  </w:style>
  <w:style w:type="paragraph" w:styleId="P17">
    <w:name w:val="Sangría 2 de t. independiente1"/>
    <w:basedOn w:val="P0"/>
    <w:next w:val="P17"/>
    <w:pPr>
      <w:ind w:hanging="748" w:left="748" w:right="0"/>
      <w:jc w:val="both"/>
    </w:pPr>
    <w:rPr>
      <w:rFonts w:ascii="Courier New" w:hAnsi="Courier New"/>
    </w:rPr>
  </w:style>
  <w:style w:type="paragraph" w:styleId="P18">
    <w:name w:val="Sangría 3 de t. independiente1"/>
    <w:basedOn w:val="P0"/>
    <w:next w:val="P18"/>
    <w:pPr>
      <w:ind w:firstLine="0" w:left="748" w:right="0"/>
      <w:jc w:val="both"/>
    </w:pPr>
    <w:rPr>
      <w:rFonts w:ascii="Courier New" w:hAnsi="Courier New"/>
      <w:b w:val="1"/>
    </w:rPr>
  </w:style>
  <w:style w:type="paragraph" w:styleId="P19">
    <w:name w:val="Encabezado"/>
    <w:basedOn w:val="P0"/>
    <w:next w:val="P19"/>
    <w:pPr>
      <w:tabs>
        <w:tab w:val="center" w:pos="4252" w:leader="none"/>
        <w:tab w:val="right" w:pos="8504" w:leader="none"/>
      </w:tabs>
    </w:pPr>
    <w:rPr/>
  </w:style>
  <w:style w:type="paragraph" w:styleId="P20">
    <w:name w:val="Texto independiente 22"/>
    <w:basedOn w:val="P0"/>
    <w:next w:val="P20"/>
    <w:pPr/>
    <w:rPr>
      <w:rFonts w:ascii="Arial" w:hAnsi="Arial"/>
      <w:b w:val="1"/>
      <w:sz w:val="28"/>
    </w:rPr>
  </w:style>
  <w:style w:type="paragraph" w:styleId="P21">
    <w:name w:val="Texto independiente 31"/>
    <w:basedOn w:val="P0"/>
    <w:next w:val="P21"/>
    <w:pPr>
      <w:jc w:val="both"/>
    </w:pPr>
    <w:rPr>
      <w:rFonts w:ascii="Courier New" w:hAnsi="Courier New"/>
      <w:b w:val="1"/>
    </w:rPr>
  </w:style>
  <w:style w:type="paragraph" w:styleId="P22">
    <w:name w:val="Título"/>
    <w:basedOn w:val="P0"/>
    <w:next w:val="P35"/>
    <w:qFormat/>
    <w:pPr>
      <w:jc w:val="center"/>
    </w:pPr>
    <w:rPr>
      <w:rFonts w:ascii="Courier New" w:hAnsi="Courier New"/>
      <w:b w:val="1"/>
      <w:u w:val="single"/>
    </w:rPr>
  </w:style>
  <w:style w:type="paragraph" w:styleId="P23">
    <w:name w:val="Normal (Web)"/>
    <w:basedOn w:val="P0"/>
    <w:next w:val="P23"/>
    <w:pPr>
      <w:spacing w:before="100" w:after="100"/>
    </w:pPr>
    <w:rPr/>
  </w:style>
  <w:style w:type="paragraph" w:styleId="P24">
    <w:name w:val="Texto sin formato1"/>
    <w:basedOn w:val="P0"/>
    <w:next w:val="P24"/>
    <w:pPr/>
    <w:rPr>
      <w:rFonts w:ascii="Courier New" w:hAnsi="Courier New"/>
      <w:sz w:val="20"/>
    </w:rPr>
  </w:style>
  <w:style w:type="paragraph" w:styleId="P25">
    <w:name w:val="Remite de sobre"/>
    <w:basedOn w:val="P0"/>
    <w:next w:val="P25"/>
    <w:pPr>
      <w:jc w:val="both"/>
    </w:pPr>
    <w:rPr>
      <w:rFonts w:ascii="Benguiat Bk BT" w:hAnsi="Benguiat Bk BT"/>
      <w:b w:val="1"/>
      <w:i w:val="1"/>
      <w:u w:val="single"/>
    </w:rPr>
  </w:style>
  <w:style w:type="paragraph" w:styleId="P26">
    <w:name w:val="H2"/>
    <w:basedOn w:val="P0"/>
    <w:next w:val="P0"/>
    <w:pPr>
      <w:keepNext w:val="1"/>
      <w:spacing w:before="100" w:after="100"/>
    </w:pPr>
    <w:rPr>
      <w:b w:val="1"/>
      <w:sz w:val="36"/>
    </w:rPr>
  </w:style>
  <w:style w:type="paragraph" w:styleId="P27">
    <w:name w:val="Blockquote"/>
    <w:basedOn w:val="P0"/>
    <w:next w:val="P27"/>
    <w:pPr>
      <w:spacing w:before="100" w:after="100"/>
      <w:ind w:firstLine="0" w:left="360" w:right="360"/>
    </w:pPr>
    <w:rPr/>
  </w:style>
  <w:style w:type="paragraph" w:styleId="P28">
    <w:name w:val="Texto independiente 21"/>
    <w:basedOn w:val="P0"/>
    <w:next w:val="P28"/>
    <w:pPr>
      <w:suppressAutoHyphens w:val="1"/>
    </w:pPr>
    <w:rPr>
      <w:rFonts w:ascii="Arial" w:hAnsi="Arial"/>
      <w:sz w:val="22"/>
    </w:rPr>
  </w:style>
  <w:style w:type="paragraph" w:styleId="P29">
    <w:name w:val="H3"/>
    <w:basedOn w:val="P0"/>
    <w:next w:val="P0"/>
    <w:pPr>
      <w:keepNext w:val="1"/>
      <w:spacing w:before="100" w:after="100"/>
    </w:pPr>
    <w:rPr>
      <w:b w:val="1"/>
      <w:sz w:val="28"/>
    </w:rPr>
  </w:style>
  <w:style w:type="paragraph" w:styleId="P30">
    <w:name w:val="Texto de globo"/>
    <w:basedOn w:val="P0"/>
    <w:next w:val="P30"/>
    <w:pPr/>
    <w:rPr>
      <w:rFonts w:ascii="Tahoma" w:hAnsi="Tahoma"/>
      <w:sz w:val="16"/>
    </w:rPr>
  </w:style>
  <w:style w:type="paragraph" w:styleId="P31">
    <w:name w:val="Párrafo de lista"/>
    <w:basedOn w:val="P0"/>
    <w:next w:val="P31"/>
    <w:qFormat/>
    <w:pPr>
      <w:ind w:firstLine="0" w:left="708" w:right="0"/>
    </w:pPr>
    <w:rPr/>
  </w:style>
  <w:style w:type="paragraph" w:styleId="P32">
    <w:name w:val="Pie de página"/>
    <w:basedOn w:val="P0"/>
    <w:next w:val="P32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3">
    <w:name w:val="Texto independiente 2"/>
    <w:basedOn w:val="P0"/>
    <w:next w:val="P33"/>
    <w:link w:val="C27"/>
    <w:pPr>
      <w:spacing w:lineRule="auto" w:line="480" w:after="120"/>
    </w:pPr>
    <w:rPr/>
  </w:style>
  <w:style w:type="paragraph" w:styleId="P34">
    <w:name w:val="Texto independiente 3"/>
    <w:basedOn w:val="P0"/>
    <w:next w:val="P34"/>
    <w:link w:val="C28"/>
    <w:pPr>
      <w:spacing w:after="120"/>
    </w:pPr>
    <w:rPr>
      <w:sz w:val="16"/>
    </w:rPr>
  </w:style>
  <w:style w:type="paragraph" w:styleId="P35">
    <w:name w:val="Subtítulo"/>
    <w:basedOn w:val="P11"/>
    <w:next w:val="P12"/>
    <w:qFormat/>
    <w:pPr>
      <w:jc w:val="center"/>
    </w:pPr>
    <w:rPr>
      <w:i w:val="1"/>
      <w:sz w:val="28"/>
    </w:rPr>
  </w:style>
  <w:style w:type="paragraph" w:styleId="P36">
    <w:name w:val="Texto independiente primera sangría1"/>
    <w:basedOn w:val="P12"/>
    <w:next w:val="P36"/>
    <w:pPr>
      <w:spacing w:before="0" w:after="120"/>
      <w:ind w:firstLine="210" w:left="0" w:right="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WW8Num2z0"/>
    <w:rPr>
      <w:b w:val="0"/>
      <w:i w:val="0"/>
    </w:rPr>
  </w:style>
  <w:style w:type="character" w:styleId="C5">
    <w:name w:val="WW8Num7z0"/>
    <w:rPr>
      <w:rFonts w:ascii="Symbol" w:hAnsi="Symbol"/>
    </w:rPr>
  </w:style>
  <w:style w:type="character" w:styleId="C6">
    <w:name w:val="WW8Num7z1"/>
    <w:rPr>
      <w:rFonts w:ascii="Courier New" w:hAnsi="Courier New"/>
    </w:rPr>
  </w:style>
  <w:style w:type="character" w:styleId="C7">
    <w:name w:val="WW8Num7z2"/>
    <w:rPr>
      <w:rFonts w:ascii="Wingdings" w:hAnsi="Wingdings"/>
    </w:rPr>
  </w:style>
  <w:style w:type="character" w:styleId="C8">
    <w:name w:val="WW8Num7z3"/>
    <w:rPr>
      <w:rFonts w:ascii="Symbol" w:hAnsi="Symbol"/>
    </w:rPr>
  </w:style>
  <w:style w:type="character" w:styleId="C9">
    <w:name w:val="WW8Num13z0"/>
    <w:rPr>
      <w:rFonts w:ascii="Times New Roman" w:hAnsi="Times New Roman"/>
    </w:rPr>
  </w:style>
  <w:style w:type="character" w:styleId="C10">
    <w:name w:val="WW8Num13z1"/>
    <w:rPr>
      <w:rFonts w:ascii="Courier New" w:hAnsi="Courier New"/>
    </w:rPr>
  </w:style>
  <w:style w:type="character" w:styleId="C11">
    <w:name w:val="WW8Num13z2"/>
    <w:rPr>
      <w:rFonts w:ascii="Wingdings" w:hAnsi="Wingdings"/>
    </w:rPr>
  </w:style>
  <w:style w:type="character" w:styleId="C12">
    <w:name w:val="WW8Num13z3"/>
    <w:rPr>
      <w:rFonts w:ascii="Symbol" w:hAnsi="Symbol"/>
    </w:rPr>
  </w:style>
  <w:style w:type="character" w:styleId="C13">
    <w:name w:val="WW8Num16z0"/>
    <w:rPr>
      <w:rFonts w:ascii="Symbol" w:hAnsi="Symbol"/>
    </w:rPr>
  </w:style>
  <w:style w:type="character" w:styleId="C14">
    <w:name w:val="WW8Num16z1"/>
    <w:rPr>
      <w:rFonts w:ascii="Courier New" w:hAnsi="Courier New"/>
    </w:rPr>
  </w:style>
  <w:style w:type="character" w:styleId="C15">
    <w:name w:val="WW8Num16z2"/>
    <w:rPr>
      <w:rFonts w:ascii="Wingdings" w:hAnsi="Wingdings"/>
    </w:rPr>
  </w:style>
  <w:style w:type="character" w:styleId="C16">
    <w:name w:val="WW8Num21z0"/>
    <w:rPr>
      <w:rFonts w:ascii="Times New Roman" w:hAnsi="Times New Roman"/>
      <w:color w:val="FF0000"/>
    </w:rPr>
  </w:style>
  <w:style w:type="character" w:styleId="C17">
    <w:name w:val="WW8Num23z0"/>
    <w:rPr>
      <w:b w:val="0"/>
    </w:rPr>
  </w:style>
  <w:style w:type="character" w:styleId="C18">
    <w:name w:val="Fuente de párrafo predeter.1"/>
    <w:rPr/>
  </w:style>
  <w:style w:type="character" w:styleId="C19">
    <w:name w:val="Texto en negrita"/>
    <w:qFormat/>
    <w:rPr>
      <w:b w:val="1"/>
    </w:rPr>
  </w:style>
  <w:style w:type="character" w:styleId="C20">
    <w:name w:val="Texto independiente Car"/>
    <w:rPr>
      <w:rFonts w:ascii="Courier New" w:hAnsi="Courier New"/>
      <w:sz w:val="24"/>
    </w:rPr>
  </w:style>
  <w:style w:type="character" w:styleId="C21">
    <w:name w:val="Texto independiente primera sangría Car"/>
    <w:rPr>
      <w:rFonts w:ascii="Courier New" w:hAnsi="Courier New"/>
      <w:sz w:val="24"/>
    </w:rPr>
  </w:style>
  <w:style w:type="character" w:styleId="C22">
    <w:name w:val="Hipervínculo"/>
    <w:rPr>
      <w:color w:val="0000FF"/>
      <w:u w:val="single"/>
    </w:rPr>
  </w:style>
  <w:style w:type="character" w:styleId="C23">
    <w:name w:val="Texto independiente 2 Car"/>
    <w:rPr>
      <w:rFonts w:ascii="Arial" w:hAnsi="Arial"/>
      <w:b w:val="1"/>
      <w:sz w:val="28"/>
    </w:rPr>
  </w:style>
  <w:style w:type="character" w:styleId="C24">
    <w:name w:val="Texto de globo Car"/>
    <w:rPr>
      <w:rFonts w:ascii="Tahoma" w:hAnsi="Tahoma"/>
      <w:sz w:val="16"/>
    </w:rPr>
  </w:style>
  <w:style w:type="character" w:styleId="C25">
    <w:name w:val="Pie de página Car"/>
    <w:rPr/>
  </w:style>
  <w:style w:type="character" w:styleId="C26">
    <w:name w:val="Texto sin formato Car"/>
    <w:rPr>
      <w:rFonts w:ascii="Courier New" w:hAnsi="Courier New"/>
    </w:rPr>
  </w:style>
  <w:style w:type="character" w:styleId="C27">
    <w:name w:val="Texto independiente 2 Car1"/>
    <w:link w:val="P33"/>
    <w:rPr/>
  </w:style>
  <w:style w:type="character" w:styleId="C28">
    <w:name w:val="Texto independiente 3 Car"/>
    <w:link w:val="P34"/>
    <w:rPr>
      <w:sz w:val="16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2013-12-20T14:09:00Z</dcterms:created>
  <cp:lastModifiedBy>Ethan Puglia</cp:lastModifiedBy>
  <cp:lastPrinted>2013-11-19T20:35:00Z</cp:lastPrinted>
  <dcterms:modified xsi:type="dcterms:W3CDTF">2019-03-28T17:33:16Z</dcterms:modified>
  <cp:revision>4</cp:revision>
  <dc:title>PROYECTO DE ORDENANZA VIOLENCIA FAMILIAR</dc:title>
</cp:coreProperties>
</file>