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570DAA0D" Type="http://schemas.openxmlformats.org/officeDocument/2006/relationships/officeDocument" Target="/word/document.xml" /><Relationship Id="coreR570DAA0D"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jc w:val="center"/>
        <w:rPr>
          <w:rStyle w:val="C3"/>
          <w:b w:val="1"/>
          <w:sz w:val="24"/>
          <w:u w:val="single"/>
        </w:rPr>
      </w:pPr>
    </w:p>
    <w:p>
      <w:pPr>
        <w:pStyle w:val="P1"/>
        <w:jc w:val="center"/>
        <w:rPr>
          <w:rStyle w:val="C3"/>
          <w:b w:val="1"/>
          <w:sz w:val="24"/>
          <w:u w:val="single"/>
        </w:rPr>
      </w:pPr>
      <w:r>
        <w:rPr>
          <w:rStyle w:val="C3"/>
          <w:b w:val="1"/>
          <w:sz w:val="24"/>
          <w:u w:val="single"/>
        </w:rPr>
        <w:t xml:space="preserve">ORDENANZA  Nº  3335</w:t>
      </w:r>
    </w:p>
    <w:p>
      <w:pPr>
        <w:pStyle w:val="P1"/>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sz w:val="24"/>
        </w:rPr>
        <w:t xml:space="preserve">Visto: El avance de  enfermedades (particularmente el "Síndrome Pulmonar por Hantavirus"), transmitidas por roedores e insectos, quiénes encuentran su refugio en lotes y terrenos baldíos cubiertos de malezas y faltos de higiene; y</w:t>
      </w:r>
    </w:p>
    <w:p>
      <w:pPr>
        <w:pStyle w:val="P1"/>
        <w:ind w:left="709"/>
        <w:jc w:val="center"/>
        <w:rPr>
          <w:rStyle w:val="C3"/>
          <w:sz w:val="24"/>
        </w:rPr>
      </w:pPr>
    </w:p>
    <w:p>
      <w:pPr>
        <w:pStyle w:val="P1"/>
        <w:ind w:left="709"/>
        <w:jc w:val="center"/>
        <w:rPr>
          <w:rStyle w:val="C3"/>
          <w:sz w:val="24"/>
        </w:rPr>
      </w:pPr>
    </w:p>
    <w:p>
      <w:pPr>
        <w:pStyle w:val="P1"/>
        <w:ind w:left="709"/>
        <w:jc w:val="center"/>
        <w:rPr>
          <w:rStyle w:val="C3"/>
          <w:b w:val="1"/>
          <w:sz w:val="24"/>
        </w:rPr>
      </w:pPr>
      <w:r>
        <w:rPr>
          <w:rStyle w:val="C3"/>
          <w:b w:val="1"/>
          <w:sz w:val="24"/>
        </w:rPr>
        <w:t>C O N S I D E R A N D O</w:t>
      </w:r>
    </w:p>
    <w:p>
      <w:pPr>
        <w:pStyle w:val="P1"/>
        <w:rPr>
          <w:rStyle w:val="C3"/>
          <w:sz w:val="24"/>
        </w:rPr>
      </w:pPr>
    </w:p>
    <w:p>
      <w:pPr>
        <w:pStyle w:val="P1"/>
        <w:ind w:hanging="709" w:left="709"/>
        <w:jc w:val="both"/>
        <w:rPr>
          <w:rStyle w:val="C3"/>
          <w:sz w:val="24"/>
        </w:rPr>
      </w:pPr>
      <w:r>
        <w:rPr>
          <w:rStyle w:val="C3"/>
          <w:sz w:val="24"/>
        </w:rPr>
        <w:t xml:space="preserve">     Que se hace necesario adecuar la Ordenanza vigente a fin de adaptarla a la situación sanitaria actual, que exige una actuación rápida, enérgica y contundente para evitar la propagación de enfermedades.</w:t>
      </w:r>
    </w:p>
    <w:p>
      <w:pPr>
        <w:pStyle w:val="P1"/>
        <w:rPr>
          <w:rStyle w:val="C3"/>
          <w:sz w:val="24"/>
        </w:rPr>
      </w:pPr>
    </w:p>
    <w:p>
      <w:pPr>
        <w:pStyle w:val="P1"/>
        <w:ind w:left="709"/>
        <w:jc w:val="center"/>
        <w:rPr>
          <w:rStyle w:val="C3"/>
          <w:b w:val="1"/>
          <w:sz w:val="24"/>
        </w:rPr>
      </w:pPr>
      <w:r>
        <w:rPr>
          <w:rStyle w:val="C3"/>
          <w:b w:val="1"/>
          <w:sz w:val="24"/>
        </w:rPr>
        <w:t>EL CONCEJO DELIBERANTE DE LA CIUDAD DE ALTA GRACIA</w:t>
      </w:r>
    </w:p>
    <w:p>
      <w:pPr>
        <w:pStyle w:val="P1"/>
        <w:ind w:left="709"/>
        <w:jc w:val="center"/>
        <w:rPr>
          <w:rStyle w:val="C3"/>
          <w:b w:val="1"/>
          <w:sz w:val="24"/>
        </w:rPr>
      </w:pPr>
    </w:p>
    <w:p>
      <w:pPr>
        <w:pStyle w:val="P1"/>
        <w:ind w:left="709"/>
        <w:jc w:val="center"/>
        <w:rPr>
          <w:rStyle w:val="C3"/>
          <w:b w:val="1"/>
          <w:sz w:val="24"/>
        </w:rPr>
      </w:pPr>
      <w:r>
        <w:rPr>
          <w:rStyle w:val="C3"/>
          <w:b w:val="1"/>
          <w:sz w:val="24"/>
        </w:rPr>
        <w:t>O R D E N A</w:t>
      </w:r>
    </w:p>
    <w:p>
      <w:pPr>
        <w:pStyle w:val="P1"/>
        <w:rPr>
          <w:rStyle w:val="C3"/>
          <w:sz w:val="24"/>
        </w:rPr>
      </w:pPr>
    </w:p>
    <w:p>
      <w:pPr>
        <w:pStyle w:val="P1"/>
        <w:ind w:hanging="709" w:left="709"/>
        <w:jc w:val="both"/>
        <w:rPr>
          <w:rStyle w:val="C3"/>
          <w:sz w:val="24"/>
        </w:rPr>
      </w:pPr>
      <w:r>
        <w:rPr>
          <w:rStyle w:val="C3"/>
          <w:b w:val="1"/>
          <w:sz w:val="24"/>
          <w:u w:val="single"/>
        </w:rPr>
        <w:t>Art.1:</w:t>
      </w:r>
      <w:r>
        <w:rPr>
          <w:rStyle w:val="C3"/>
          <w:sz w:val="24"/>
        </w:rPr>
        <w:t xml:space="preserve"> </w:t>
      </w:r>
      <w:r>
        <w:rPr>
          <w:rStyle w:val="C3"/>
          <w:b w:val="1"/>
          <w:sz w:val="24"/>
        </w:rPr>
        <w:t>MODIFICASE</w:t>
      </w:r>
      <w:r>
        <w:rPr>
          <w:rStyle w:val="C3"/>
          <w:sz w:val="24"/>
        </w:rPr>
        <w:t xml:space="preserve">  el  Art.13 de la  Ordenanza Municipal Nº 1108, el que quedará  redactado de la siguiente manera: "La Municipalidad ordenará  al infractor cumplimentar con lo establecido en la presente Ordenanza mediante notificación en el domicilio del propietario del inmueble. Para tal fin, le otorgará  el término perentorio de setenta y dos horas; vencido el mismo, y constatándose por la autoridad de aplicación el incumplimiento de las obligaciones a cargo de éste, la Municipalidad podrá  disponer la ejecución de las tareas que fueren menester. Además, se pondrá  en conocimiento de la población en general, a través de los medios de difusión pública local, la obligación de cumplimentar en tiempo y forma esta Ordenanza. Para el cumplimiento de lo establecido en este artículo, la Municipalidad podrá  ejecutar las tareas directamente, y/o mediante adjudicación directa, Concurso Privados de Precios Licitación Pública. Los gastos  y/o costos y/o demás                                                       erogaciones que las tareas demandaren serán por cuenta y cargo del propietario, y su cobro se hará  por la vía ejecutiva que correspondiere. Lo establecido es sin perjuicio de las sanciones que eventualmente pudieren corresponder por la/s infracción/es cometidas, conforme lo determine el Tribunal Administrativo de Faltas Municipal.</w:t>
      </w:r>
    </w:p>
    <w:p>
      <w:pPr>
        <w:pStyle w:val="P1"/>
        <w:jc w:val="right"/>
        <w:rPr>
          <w:rStyle w:val="C3"/>
          <w:sz w:val="24"/>
        </w:rPr>
      </w:pPr>
      <w:r>
        <w:rPr>
          <w:rStyle w:val="C3"/>
          <w:sz w:val="24"/>
        </w:rPr>
        <w:t>...///</w:t>
      </w: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sz w:val="24"/>
        </w:rPr>
      </w:pPr>
      <w:r>
        <w:rPr>
          <w:rStyle w:val="C3"/>
          <w:sz w:val="24"/>
        </w:rPr>
        <w:t>...///2.-</w:t>
      </w: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sz w:val="24"/>
        </w:rPr>
      </w:pPr>
      <w:r>
        <w:rPr>
          <w:rStyle w:val="C3"/>
          <w:b w:val="1"/>
          <w:sz w:val="24"/>
          <w:u w:val="single"/>
        </w:rPr>
        <w:t>Art.2:</w:t>
      </w:r>
      <w:r>
        <w:rPr>
          <w:rStyle w:val="C3"/>
          <w:sz w:val="24"/>
        </w:rPr>
        <w:t xml:space="preserve"> </w:t>
      </w:r>
      <w:r>
        <w:rPr>
          <w:rStyle w:val="C3"/>
          <w:b w:val="1"/>
          <w:sz w:val="24"/>
        </w:rPr>
        <w:t>AGREGASE</w:t>
      </w:r>
      <w:r>
        <w:rPr>
          <w:rStyle w:val="C3"/>
          <w:sz w:val="24"/>
        </w:rPr>
        <w:t xml:space="preserve"> el Art. 14 a la Ordenanza 1108, que quedará redactado de la siguiente manera: "Para el cumplimiento efectivo de lo dispuesto en el artículo precedente, facúltase a la Municipalidad de la Ciudad de Alta Gracia, haciendo uso del poder de policía que le es inherente, a realizar las tareas en terrenos y/o lotes baldíos y/o veredas y/o cercos de propiedad de terceros, cuando estos hubieren hecho caso omiso a la intimación fehaciente cursada en los términos del Art. 13 y cuando además la Municipalidad lo considere necesario; en estos casos, la Municipalidad labrará  un acta, en donde dejará  constancia de las condiciones y/estado del terreno y/o baldío de que se trate, y otra, posterior, donde conste el estado en que fue dejado con las obras realizadas. En ambos casos se requerirá  la presencia de dos vecinos y/o testigos, si fuere posible, que refrenden las actuaciones.</w:t>
      </w:r>
    </w:p>
    <w:p>
      <w:pPr>
        <w:pStyle w:val="P1"/>
        <w:rPr>
          <w:rStyle w:val="C3"/>
          <w:sz w:val="24"/>
        </w:rPr>
      </w:pPr>
    </w:p>
    <w:p>
      <w:pPr>
        <w:pStyle w:val="P1"/>
        <w:ind w:hanging="709" w:left="709"/>
        <w:jc w:val="both"/>
        <w:rPr>
          <w:rStyle w:val="C3"/>
          <w:sz w:val="24"/>
        </w:rPr>
      </w:pPr>
      <w:r>
        <w:rPr>
          <w:rStyle w:val="C3"/>
          <w:b w:val="1"/>
          <w:sz w:val="24"/>
          <w:u w:val="single"/>
        </w:rPr>
        <w:t>Art.3:</w:t>
      </w:r>
      <w:r>
        <w:rPr>
          <w:rStyle w:val="C3"/>
          <w:sz w:val="24"/>
        </w:rPr>
        <w:t xml:space="preserve"> </w:t>
      </w:r>
      <w:r>
        <w:rPr>
          <w:rStyle w:val="C3"/>
          <w:b w:val="1"/>
          <w:sz w:val="24"/>
        </w:rPr>
        <w:t>AGREGASE</w:t>
      </w:r>
      <w:r>
        <w:rPr>
          <w:rStyle w:val="C3"/>
          <w:sz w:val="24"/>
        </w:rPr>
        <w:t xml:space="preserve"> el Art.15 a la Ordenanza  1108, que quedará redactado de la siguiente manera: "El uso de las atribuciones conferidas a la Municipalidad de Alta Gracia respecto a las restricciones al dominio están dadas por sólo el interés público en miras a la seguridad y/o salubridad de la población toda en su conjunto".</w:t>
      </w:r>
    </w:p>
    <w:p>
      <w:pPr>
        <w:pStyle w:val="P1"/>
        <w:rPr>
          <w:rStyle w:val="C3"/>
          <w:sz w:val="24"/>
        </w:rPr>
      </w:pPr>
    </w:p>
    <w:p>
      <w:pPr>
        <w:pStyle w:val="P1"/>
        <w:ind w:hanging="709" w:left="709"/>
        <w:jc w:val="both"/>
        <w:rPr>
          <w:rStyle w:val="C3"/>
          <w:sz w:val="24"/>
        </w:rPr>
      </w:pPr>
      <w:r>
        <w:rPr>
          <w:rStyle w:val="C3"/>
          <w:b w:val="1"/>
          <w:sz w:val="24"/>
          <w:u w:val="single"/>
        </w:rPr>
        <w:t>Art.4:</w:t>
      </w:r>
      <w:r>
        <w:rPr>
          <w:rStyle w:val="C3"/>
          <w:sz w:val="24"/>
        </w:rPr>
        <w:t xml:space="preserve"> </w:t>
      </w:r>
      <w:r>
        <w:rPr>
          <w:rStyle w:val="C3"/>
          <w:b w:val="1"/>
          <w:sz w:val="24"/>
        </w:rPr>
        <w:t>COMUNIQUESE,</w:t>
      </w:r>
      <w:r>
        <w:rPr>
          <w:rStyle w:val="C3"/>
          <w:sz w:val="24"/>
        </w:rPr>
        <w:t xml:space="preserve">  publíquese,  transcríbase  al Libro de Ordenanzas y archívese.</w:t>
      </w:r>
    </w:p>
    <w:p>
      <w:pPr>
        <w:pStyle w:val="P1"/>
        <w:rPr>
          <w:rStyle w:val="C3"/>
          <w:sz w:val="24"/>
        </w:rPr>
      </w:pPr>
    </w:p>
    <w:p>
      <w:pPr>
        <w:pStyle w:val="P1"/>
        <w:jc w:val="both"/>
        <w:rPr>
          <w:rStyle w:val="C3"/>
          <w:b w:val="1"/>
          <w:sz w:val="52"/>
        </w:rPr>
      </w:pPr>
      <w:r>
        <w:rPr>
          <w:rStyle w:val="C3"/>
          <w:b w:val="1"/>
          <w:sz w:val="24"/>
        </w:rPr>
        <w:t>DADA EN LA SALA DE SESIONES DEL HONORABLE CONCEJO DELIBERANTE A LOS NUEVE DIAS DEL MES DE DICIEMBRE DE MIL NOVECIENTOS NOVENTA Y SEIS.</w:t>
      </w:r>
    </w:p>
    <w:sectPr>
      <w:type w:val="nextPage"/>
      <w:pgMar w:left="1319" w:right="1319"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exto sin formato"/>
    <w:basedOn w:val="P0"/>
    <w:next w:val="P1"/>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2002-05-07T14:50:00Z</dcterms:created>
  <cp:lastModifiedBy>Ethan Puglia</cp:lastModifiedBy>
  <dcterms:modified xsi:type="dcterms:W3CDTF">2019-03-28T17:33:18Z</dcterms:modified>
  <cp:revision>3</cp:revision>
  <dc:title>1¾   «         </dc:title>
</cp:coreProperties>
</file>