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33975A1" Type="http://schemas.openxmlformats.org/officeDocument/2006/relationships/officeDocument" Target="/word/document.xml" /><Relationship Id="coreR733975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pPr>
      <w:r>
        <w:t>"AÑO DEL ORDENAMIENTO JURIDICO MUNICIPAL"</w:t>
      </w:r>
    </w:p>
    <w:p>
      <w:pPr>
        <w:rPr>
          <w:rStyle w:val="C3"/>
          <w:rFonts w:ascii="Courier New" w:hAnsi="Courier New"/>
          <w:sz w:val="24"/>
        </w:rPr>
      </w:pPr>
    </w:p>
    <w:p>
      <w:pPr>
        <w:rPr>
          <w:rStyle w:val="C3"/>
          <w:rFonts w:ascii="Courier New" w:hAnsi="Courier New"/>
          <w:sz w:val="24"/>
        </w:rPr>
      </w:pPr>
    </w:p>
    <w:p>
      <w:pPr>
        <w:pStyle w:val="P1"/>
      </w:pPr>
      <w:r>
        <w:t xml:space="preserve">ORDENANZA  Nº  4837</w:t>
      </w:r>
    </w:p>
    <w:p>
      <w:pPr>
        <w:rPr>
          <w:rStyle w:val="C3"/>
          <w:rFonts w:ascii="Courier New" w:hAnsi="Courier New"/>
          <w:sz w:val="24"/>
        </w:rPr>
      </w:pPr>
    </w:p>
    <w:p>
      <w:pPr>
        <w:rPr>
          <w:rStyle w:val="C3"/>
          <w:rFonts w:ascii="Courier New" w:hAnsi="Courier New"/>
          <w:sz w:val="24"/>
        </w:rPr>
      </w:pPr>
    </w:p>
    <w:p>
      <w:pPr>
        <w:pStyle w:val="P6"/>
      </w:pPr>
      <w:r>
        <w:t>Visto: El Artículo Nº 28 de la Carta Orgánica Municipal, referido al empleo público municipal; y</w:t>
      </w:r>
    </w:p>
    <w:p>
      <w:pPr>
        <w:rPr>
          <w:rStyle w:val="C3"/>
          <w:rFonts w:ascii="Courier New" w:hAnsi="Courier New"/>
          <w:sz w:val="24"/>
        </w:rPr>
      </w:pPr>
    </w:p>
    <w:p>
      <w:pPr>
        <w:rPr>
          <w:rStyle w:val="C3"/>
          <w:rFonts w:ascii="Courier New" w:hAnsi="Courier New"/>
          <w:sz w:val="24"/>
        </w:rPr>
      </w:pPr>
    </w:p>
    <w:p>
      <w:pPr>
        <w:pStyle w:val="P2"/>
      </w:pPr>
      <w:r>
        <w:t>C O N S I D E R A N D O</w:t>
      </w:r>
    </w:p>
    <w:p>
      <w:pPr>
        <w:rPr>
          <w:rStyle w:val="C3"/>
          <w:rFonts w:ascii="Courier New" w:hAnsi="Courier New"/>
          <w:sz w:val="24"/>
        </w:rPr>
      </w:pPr>
    </w:p>
    <w:p>
      <w:pPr>
        <w:rPr>
          <w:rStyle w:val="C3"/>
          <w:rFonts w:ascii="Courier New" w:hAnsi="Courier New"/>
          <w:sz w:val="24"/>
        </w:rPr>
      </w:pPr>
    </w:p>
    <w:p>
      <w:pPr>
        <w:pStyle w:val="P7"/>
      </w:pPr>
      <w:r>
        <w:t>Que nuestra Carta Orgánica Municipal establece que por Ordenanza se determina el porcentual de veteranos de Guerra de Malvinas y vecinos veteranos de cualquier otro conflicto bélico en el que la Nación Argentina haya sido parte directa en defensa de su soberanía;</w:t>
      </w:r>
    </w:p>
    <w:p>
      <w:pPr>
        <w:rPr>
          <w:rStyle w:val="C3"/>
          <w:rFonts w:ascii="Courier New" w:hAnsi="Courier New"/>
          <w:sz w:val="24"/>
        </w:rPr>
      </w:pPr>
    </w:p>
    <w:p>
      <w:pPr>
        <w:pStyle w:val="P7"/>
        <w:tabs>
          <w:tab w:val="left" w:pos="709" w:leader="none"/>
        </w:tabs>
      </w:pPr>
      <w:r>
        <w:t>Que nuestra ciudad cuenta con vecinos que han participado de la Guerra de Malvinas y que muchos de estos héroes que fueron a ofrecer su vida en defensa de nuestra soberanía, se encuentran en la actualidad sin trabajo;</w:t>
      </w:r>
    </w:p>
    <w:p>
      <w:pPr>
        <w:rPr>
          <w:rStyle w:val="C3"/>
          <w:rFonts w:ascii="Courier New" w:hAnsi="Courier New"/>
          <w:sz w:val="24"/>
        </w:rPr>
      </w:pPr>
    </w:p>
    <w:p>
      <w:pPr>
        <w:pStyle w:val="P7"/>
      </w:pPr>
      <w:r>
        <w:t>Que permitiendo el acceso al empleo municipal de estos jóvenes veteranos de guerra, estaríamos rindiendo el mejor homenaje a todos aquellos que perdieron sus vidas defendiendo el honor de la Nación.</w:t>
      </w:r>
    </w:p>
    <w:p>
      <w:pPr>
        <w:rPr>
          <w:rStyle w:val="C3"/>
          <w:rFonts w:ascii="Courier New" w:hAnsi="Courier New"/>
          <w:sz w:val="24"/>
        </w:rPr>
      </w:pPr>
    </w:p>
    <w:p>
      <w:pPr>
        <w:rPr>
          <w:rStyle w:val="C3"/>
          <w:rFonts w:ascii="Courier New" w:hAnsi="Courier New"/>
          <w:sz w:val="24"/>
        </w:rPr>
      </w:pPr>
    </w:p>
    <w:p>
      <w:pPr>
        <w:ind w:firstLine="709"/>
        <w:jc w:val="center"/>
        <w:rPr>
          <w:rStyle w:val="C3"/>
          <w:rFonts w:ascii="Courier New" w:hAnsi="Courier New"/>
          <w:b w:val="1"/>
          <w:sz w:val="24"/>
        </w:rPr>
      </w:pPr>
      <w:r>
        <w:rPr>
          <w:rStyle w:val="C3"/>
          <w:rFonts w:ascii="Courier New" w:hAnsi="Courier New"/>
          <w:b w:val="1"/>
          <w:sz w:val="24"/>
        </w:rPr>
        <w:t>EL HONORABLE CONCEJO DELIBERANTE DE LA CIUDAD DE</w:t>
      </w: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r>
        <w:rPr>
          <w:rStyle w:val="C3"/>
          <w:rFonts w:ascii="Courier New" w:hAnsi="Courier New"/>
          <w:b w:val="1"/>
          <w:sz w:val="24"/>
        </w:rPr>
        <w:t>ALTA GRACIA SANCIONA CON FUERZA DE ORDENANZA</w:t>
      </w:r>
    </w:p>
    <w:p>
      <w:pP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ESTABLÉCESE</w:t>
      </w:r>
      <w:r>
        <w:rPr>
          <w:rStyle w:val="C3"/>
          <w:rFonts w:ascii="Courier New" w:hAnsi="Courier New"/>
          <w:sz w:val="24"/>
        </w:rPr>
        <w:t xml:space="preserve">  en el  uno coma cinco por ciento (1,5%) de la planta de personal permanente del Municipio, el porcentual a ingresar a la administración pública municipal, de veteranos de la Guerra de Malvinas y vecinos veteranos de cualquier otro conflicto bélico en el que la Nación Argentina haya sido parte  directa en defensa de su soberanía; pudiendo el Depar-</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pPr>
      <w:r>
        <w:t>Departamento Ejecutivo, hacer ingresar a los que correspondieren para cubrir el cupo establecido en el presente artículo, bajo cualquiera de las modalidades de ingreso que pudieren corresponder.</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PARA </w:t>
      </w:r>
      <w:r>
        <w:rPr>
          <w:rStyle w:val="C3"/>
          <w:rFonts w:ascii="Courier New" w:hAnsi="Courier New"/>
          <w:sz w:val="24"/>
        </w:rPr>
        <w:t>el ingreso a la administración pública municipal de los veteranos de guerra a que se refiere el Artículo 1 de la presente Ordenanza, los postulantes deben acreditar:</w:t>
      </w:r>
    </w:p>
    <w:p>
      <w:pPr>
        <w:ind w:left="709"/>
        <w:rPr>
          <w:rStyle w:val="C3"/>
          <w:rFonts w:ascii="Courier New" w:hAnsi="Courier New"/>
          <w:sz w:val="24"/>
        </w:rPr>
      </w:pPr>
      <w:r>
        <w:rPr>
          <w:rStyle w:val="C3"/>
          <w:rFonts w:ascii="Courier New" w:hAnsi="Courier New"/>
          <w:sz w:val="24"/>
        </w:rPr>
        <w:t>1) Idoneidad para el cargo a cubrir o tareas a desarrollar;</w:t>
      </w:r>
    </w:p>
    <w:p>
      <w:pPr>
        <w:ind w:left="709"/>
        <w:jc w:val="both"/>
        <w:rPr>
          <w:rStyle w:val="C3"/>
          <w:rFonts w:ascii="Courier New" w:hAnsi="Courier New"/>
          <w:sz w:val="24"/>
        </w:rPr>
      </w:pPr>
      <w:r>
        <w:rPr>
          <w:rStyle w:val="C3"/>
          <w:rFonts w:ascii="Courier New" w:hAnsi="Courier New"/>
          <w:sz w:val="24"/>
        </w:rPr>
        <w:t>2) Acreditar fehacientemente la condición de ex soldado combatiente mediante certificación formal expedida por el Ministerio de Defensa u Organismos específicos de las Fuerzas Armadas;</w:t>
      </w:r>
    </w:p>
    <w:p>
      <w:pPr>
        <w:ind w:left="709"/>
        <w:jc w:val="both"/>
        <w:rPr>
          <w:rStyle w:val="C3"/>
          <w:rFonts w:ascii="Courier New" w:hAnsi="Courier New"/>
          <w:sz w:val="24"/>
        </w:rPr>
      </w:pPr>
      <w:r>
        <w:rPr>
          <w:rStyle w:val="C3"/>
          <w:rFonts w:ascii="Courier New" w:hAnsi="Courier New"/>
          <w:sz w:val="24"/>
        </w:rPr>
        <w:t>3) Acreditar domicilio real en la ciudad de Alta Gracia en el período comprendido entre el 31 de enero de 1982 y el 2 de abril de 1982 y de domicilio actual en la Ciudad de Alta Gracia mediante: documento de identidad o constancia fehaciente de la Secretaría Electoral del Juzgado Electoral competente.</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EL</w:t>
      </w:r>
      <w:r>
        <w:rPr>
          <w:rStyle w:val="C3"/>
          <w:rFonts w:ascii="Courier New" w:hAnsi="Courier New"/>
          <w:sz w:val="24"/>
        </w:rPr>
        <w:t xml:space="preserve"> cupo establecido  en el Art. 1 se completará en tanto y en cuanto haya veteranos de guerra que acrediten ser desocupados y reúnan los requisitos establecidos en el Art. 1.</w:t>
      </w:r>
    </w:p>
    <w:p>
      <w:pPr>
        <w:rPr>
          <w:rStyle w:val="C3"/>
          <w:rFonts w:ascii="Courier New" w:hAnsi="Courier New"/>
          <w:sz w:val="24"/>
        </w:rPr>
      </w:pPr>
    </w:p>
    <w:p>
      <w:pPr>
        <w:pStyle w:val="P3"/>
      </w:pPr>
      <w:r>
        <w:rPr>
          <w:rStyle w:val="C3"/>
          <w:b w:val="1"/>
          <w:u w:val="single"/>
        </w:rPr>
        <w:t>Art.4:</w:t>
      </w:r>
      <w:r>
        <w:rPr>
          <w:rStyle w:val="C3"/>
          <w:b w:val="1"/>
        </w:rPr>
        <w:t xml:space="preserve"> EL </w:t>
      </w:r>
      <w:r>
        <w:t>beneficio establecido en la presente Ordenanza es compatible y significa una total adhesión a lo establecido en el Art. 2 de la Ley 23.848.</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LOS</w:t>
      </w:r>
      <w:r>
        <w:rPr>
          <w:rStyle w:val="C3"/>
          <w:rFonts w:ascii="Courier New" w:hAnsi="Courier New"/>
          <w:sz w:val="24"/>
        </w:rPr>
        <w:t xml:space="preserve"> primeros nombres necesarios para cubrir el cupo  que resulte del porcentual establecido en el Art.1 de la presente Ordenanza deben ser sugeridos por la Asociación Civil Veteranos de Guerra de Malvinas Alta Gracia aunque no reúnan los requisitos establecidos en el Art. 2 inc. 3 de la presente Ordenanza y por única vez. A partir de las próximas integraciones rigen en todos sus términos todas las condiciones exigidas en esta Ordenanza. </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EL</w:t>
      </w:r>
      <w:r>
        <w:rPr>
          <w:rStyle w:val="C3"/>
          <w:rFonts w:ascii="Courier New" w:hAnsi="Courier New"/>
          <w:sz w:val="24"/>
        </w:rPr>
        <w:t xml:space="preserve"> Departamento Ejecutivo en uso de sus atribuciones reglamenta la presente Ordenanza.</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COMUNIQUESE,</w:t>
      </w:r>
      <w:r>
        <w:rPr>
          <w:rStyle w:val="C3"/>
          <w:rFonts w:ascii="Courier New" w:hAnsi="Courier New"/>
          <w:sz w:val="24"/>
        </w:rPr>
        <w:t xml:space="preserve"> publíquese, transcríbase al Libro de Ordenanzas y archívese. </w:t>
      </w:r>
    </w:p>
    <w:p>
      <w:pPr>
        <w:rPr>
          <w:rStyle w:val="C3"/>
          <w:rFonts w:ascii="Courier New" w:hAnsi="Courier New"/>
          <w:sz w:val="24"/>
        </w:rPr>
      </w:pPr>
    </w:p>
    <w:p>
      <w:pPr>
        <w:rPr>
          <w:rStyle w:val="C3"/>
          <w:rFonts w:ascii="Courier New" w:hAnsi="Courier New"/>
          <w:sz w:val="24"/>
        </w:rPr>
      </w:pPr>
    </w:p>
    <w:p>
      <w:pPr>
        <w:pStyle w:val="P8"/>
        <w:rPr>
          <w:rStyle w:val="C3"/>
        </w:rPr>
      </w:pPr>
    </w:p>
    <w:p>
      <w:pPr>
        <w:pStyle w:val="P8"/>
        <w:rPr>
          <w:rStyle w:val="C3"/>
        </w:rPr>
      </w:pPr>
    </w:p>
    <w:p>
      <w:pPr>
        <w:pStyle w:val="P8"/>
        <w:rPr>
          <w:rStyle w:val="C3"/>
        </w:rPr>
      </w:pPr>
    </w:p>
    <w:p>
      <w:pPr>
        <w:pStyle w:val="P8"/>
        <w:rPr>
          <w:rStyle w:val="C3"/>
        </w:rPr>
      </w:pPr>
    </w:p>
    <w:p>
      <w:pPr>
        <w:pStyle w:val="P8"/>
        <w:rPr>
          <w:rStyle w:val="C3"/>
        </w:rPr>
      </w:pPr>
    </w:p>
    <w:p>
      <w:pPr>
        <w:pStyle w:val="P8"/>
      </w:pPr>
      <w:r>
        <w:t xml:space="preserve">DADA EN LA SALA DE SESIONES DEL HONORABLE CONCEJO DELIBERANTE A VEINTINUEVE DIAS DEL MES DE JUNIO DEL DOS MIL.  </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b w:val="1"/>
      <w:sz w:val="24"/>
      <w:u w:val="single"/>
    </w:rPr>
  </w:style>
  <w:style w:type="paragraph" w:styleId="P2">
    <w:name w:val="Título 2"/>
    <w:basedOn w:val="P0"/>
    <w:next w:val="P0"/>
    <w:pPr>
      <w:keepNext w:val="1"/>
      <w:ind w:firstLine="709"/>
      <w:jc w:val="center"/>
      <w:outlineLvl w:val="1"/>
    </w:pPr>
    <w:rPr>
      <w:rFonts w:ascii="Courier New" w:hAnsi="Courier New"/>
      <w:b w:val="1"/>
      <w:sz w:val="24"/>
    </w:rPr>
  </w:style>
  <w:style w:type="paragraph" w:styleId="P3">
    <w:name w:val="Título 3"/>
    <w:basedOn w:val="P0"/>
    <w:next w:val="P0"/>
    <w:pPr>
      <w:keepNext w:val="1"/>
      <w:ind w:hanging="709" w:left="709"/>
      <w:jc w:val="both"/>
      <w:outlineLvl w:val="2"/>
    </w:pPr>
    <w:rPr>
      <w:rFonts w:ascii="Courier New" w:hAnsi="Courier New"/>
      <w:sz w:val="24"/>
    </w:rPr>
  </w:style>
  <w:style w:type="paragraph" w:styleId="P4">
    <w:name w:val="Texto sin formato"/>
    <w:basedOn w:val="P0"/>
    <w:next w:val="P4"/>
    <w:pPr/>
    <w:rPr>
      <w:rFonts w:ascii="Courier New" w:hAnsi="Courier New"/>
    </w:rPr>
  </w:style>
  <w:style w:type="paragraph" w:styleId="P5">
    <w:name w:val="Título"/>
    <w:basedOn w:val="P0"/>
    <w:next w:val="P5"/>
    <w:pPr>
      <w:jc w:val="center"/>
    </w:pPr>
    <w:rPr>
      <w:rFonts w:ascii="Courier New" w:hAnsi="Courier New"/>
      <w:b w:val="1"/>
      <w:sz w:val="24"/>
      <w:u w:val="single"/>
    </w:rPr>
  </w:style>
  <w:style w:type="paragraph" w:styleId="P6">
    <w:name w:val="Sangría de t. independiente"/>
    <w:basedOn w:val="P0"/>
    <w:next w:val="P6"/>
    <w:pPr>
      <w:ind w:hanging="709" w:left="709"/>
      <w:jc w:val="both"/>
    </w:pPr>
    <w:rPr>
      <w:rFonts w:ascii="Courier New" w:hAnsi="Courier New"/>
      <w:sz w:val="24"/>
    </w:rPr>
  </w:style>
  <w:style w:type="paragraph" w:styleId="P7">
    <w:name w:val="Sangría 2 de t. independiente"/>
    <w:basedOn w:val="P0"/>
    <w:next w:val="P7"/>
    <w:pPr>
      <w:ind w:left="709"/>
      <w:jc w:val="both"/>
    </w:pPr>
    <w:rPr>
      <w:rFonts w:ascii="Courier New" w:hAnsi="Courier New"/>
      <w:sz w:val="24"/>
    </w:rPr>
  </w:style>
  <w:style w:type="paragraph" w:styleId="P8">
    <w:name w:val="Texto independiente"/>
    <w:basedOn w:val="P0"/>
    <w:next w:val="P8"/>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2003-08-28T15:31:00Z</dcterms:created>
  <cp:lastModifiedBy>Ethan Puglia</cp:lastModifiedBy>
  <dcterms:modified xsi:type="dcterms:W3CDTF">2019-03-28T17:33:31Z</dcterms:modified>
  <cp:revision>10</cp:revision>
  <dc:title>1¾   «        1</dc:title>
</cp:coreProperties>
</file>