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112F01F1" Type="http://schemas.openxmlformats.org/officeDocument/2006/relationships/officeDocument" Target="/word/document.xml" /><Relationship Id="coreR112F01F1"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
        <w:jc w:val="center"/>
        <w:rPr>
          <w:rStyle w:val="C3"/>
          <w:b w:val="1"/>
          <w:sz w:val="24"/>
          <w:u w:val="single"/>
        </w:rPr>
      </w:pPr>
      <w:r>
        <w:rPr>
          <w:rStyle w:val="C3"/>
          <w:b w:val="1"/>
          <w:sz w:val="24"/>
          <w:u w:val="single"/>
        </w:rPr>
        <w:t>"AÑO DEL ORDENAMIENTO JURIDICO MUNICIPAL"</w:t>
      </w:r>
    </w:p>
    <w:p>
      <w:pPr>
        <w:pStyle w:val="P1"/>
        <w:rPr>
          <w:rStyle w:val="C3"/>
          <w:sz w:val="24"/>
        </w:rPr>
      </w:pPr>
    </w:p>
    <w:p>
      <w:pPr>
        <w:pStyle w:val="P1"/>
        <w:rPr>
          <w:rStyle w:val="C3"/>
          <w:sz w:val="24"/>
        </w:rPr>
      </w:pPr>
    </w:p>
    <w:p>
      <w:pPr>
        <w:pStyle w:val="P1"/>
        <w:jc w:val="center"/>
        <w:rPr>
          <w:rStyle w:val="C3"/>
          <w:b w:val="1"/>
          <w:sz w:val="24"/>
          <w:u w:val="single"/>
        </w:rPr>
      </w:pPr>
      <w:r>
        <w:rPr>
          <w:rStyle w:val="C3"/>
          <w:b w:val="1"/>
          <w:sz w:val="24"/>
          <w:u w:val="single"/>
        </w:rPr>
        <w:t xml:space="preserve">ORDENANZA  Nº  5027</w:t>
      </w:r>
    </w:p>
    <w:p>
      <w:pPr>
        <w:pStyle w:val="P1"/>
        <w:rPr>
          <w:rStyle w:val="C3"/>
          <w:sz w:val="24"/>
        </w:rPr>
      </w:pPr>
    </w:p>
    <w:p>
      <w:pPr>
        <w:pStyle w:val="P1"/>
        <w:rPr>
          <w:rStyle w:val="C3"/>
          <w:sz w:val="24"/>
        </w:rPr>
      </w:pPr>
    </w:p>
    <w:p>
      <w:pPr>
        <w:pStyle w:val="P1"/>
        <w:ind w:hanging="709" w:left="709"/>
        <w:jc w:val="both"/>
        <w:rPr>
          <w:rStyle w:val="C3"/>
          <w:sz w:val="24"/>
        </w:rPr>
      </w:pPr>
      <w:r>
        <w:rPr>
          <w:rStyle w:val="C3"/>
          <w:sz w:val="24"/>
        </w:rPr>
        <w:t xml:space="preserve">Visto: La  Ordenanza  Nº  4975  por  la cual se aprobara el acuerdo suscripto entre la Municipalidad de Alta Gracia y las Empresas Malvicino S.A. y Bifarey S.A. relacionado con las deudas que mantienen vecinos de nuestra ciudad por la ejecución de las obras de gasoducto de aproximación Córdoba Alta Gracia, Estación Reductora y Red de Distribución Domiciliaria de gas en la ciudad; y</w:t>
      </w:r>
    </w:p>
    <w:p>
      <w:pPr>
        <w:pStyle w:val="P1"/>
        <w:rPr>
          <w:rStyle w:val="C3"/>
          <w:sz w:val="24"/>
        </w:rPr>
      </w:pPr>
    </w:p>
    <w:p>
      <w:pPr>
        <w:pStyle w:val="P1"/>
        <w:rPr>
          <w:rStyle w:val="C3"/>
          <w:sz w:val="24"/>
        </w:rPr>
      </w:pPr>
    </w:p>
    <w:p>
      <w:pPr>
        <w:pStyle w:val="P1"/>
        <w:ind w:firstLine="709"/>
        <w:jc w:val="center"/>
        <w:rPr>
          <w:rStyle w:val="C3"/>
          <w:b w:val="1"/>
          <w:sz w:val="24"/>
        </w:rPr>
      </w:pPr>
      <w:r>
        <w:rPr>
          <w:rStyle w:val="C3"/>
          <w:b w:val="1"/>
          <w:sz w:val="24"/>
        </w:rPr>
        <w:t>C O N S I D E R A N D O</w:t>
      </w:r>
    </w:p>
    <w:p>
      <w:pPr>
        <w:pStyle w:val="P1"/>
        <w:rPr>
          <w:rStyle w:val="C3"/>
          <w:sz w:val="24"/>
        </w:rPr>
      </w:pPr>
    </w:p>
    <w:p>
      <w:pPr>
        <w:pStyle w:val="P1"/>
        <w:rPr>
          <w:rStyle w:val="C3"/>
          <w:sz w:val="24"/>
        </w:rPr>
      </w:pPr>
    </w:p>
    <w:p>
      <w:pPr>
        <w:pStyle w:val="P1"/>
        <w:ind w:left="709"/>
        <w:jc w:val="both"/>
        <w:rPr>
          <w:rStyle w:val="C3"/>
          <w:sz w:val="24"/>
        </w:rPr>
      </w:pPr>
      <w:r>
        <w:rPr>
          <w:rStyle w:val="C3"/>
          <w:sz w:val="24"/>
        </w:rPr>
        <w:t>Que se hace necesario establecer los mecanismos para determinar los certificados de deudas que serán cedidos a la Municipalidad por las Empresas;</w:t>
      </w:r>
    </w:p>
    <w:p>
      <w:pPr>
        <w:pStyle w:val="P1"/>
        <w:ind w:left="709"/>
        <w:jc w:val="both"/>
        <w:rPr>
          <w:rStyle w:val="C3"/>
          <w:sz w:val="24"/>
        </w:rPr>
      </w:pPr>
    </w:p>
    <w:p>
      <w:pPr>
        <w:pStyle w:val="P1"/>
        <w:ind w:left="709"/>
        <w:jc w:val="both"/>
        <w:rPr>
          <w:rStyle w:val="C3"/>
          <w:sz w:val="24"/>
        </w:rPr>
      </w:pPr>
      <w:r>
        <w:rPr>
          <w:rStyle w:val="C3"/>
          <w:sz w:val="24"/>
        </w:rPr>
        <w:t>Que asimismo, se deben establecer las condiciones para que los vecinos que resulten beneficiarios del convenio, abonen, dentro de sus posibilidades, al Municipio, su deuda.</w:t>
      </w:r>
    </w:p>
    <w:p>
      <w:pPr>
        <w:pStyle w:val="P1"/>
        <w:rPr>
          <w:rStyle w:val="C3"/>
          <w:sz w:val="24"/>
        </w:rPr>
      </w:pPr>
    </w:p>
    <w:p>
      <w:pPr>
        <w:pStyle w:val="P1"/>
        <w:rPr>
          <w:rStyle w:val="C3"/>
          <w:sz w:val="24"/>
        </w:rPr>
      </w:pPr>
    </w:p>
    <w:p>
      <w:pPr>
        <w:pStyle w:val="P1"/>
        <w:ind w:firstLine="709"/>
        <w:jc w:val="center"/>
        <w:rPr>
          <w:rStyle w:val="C3"/>
          <w:b w:val="1"/>
          <w:sz w:val="24"/>
        </w:rPr>
      </w:pPr>
      <w:r>
        <w:rPr>
          <w:rStyle w:val="C3"/>
          <w:b w:val="1"/>
          <w:sz w:val="24"/>
        </w:rPr>
        <w:t>EL HONORABLE CONCEJO DELIBERANTE DE LA CIUDAD DE</w:t>
      </w:r>
    </w:p>
    <w:p>
      <w:pPr>
        <w:pStyle w:val="P1"/>
        <w:ind w:firstLine="709"/>
        <w:jc w:val="center"/>
        <w:rPr>
          <w:rStyle w:val="C3"/>
          <w:b w:val="1"/>
          <w:sz w:val="24"/>
        </w:rPr>
      </w:pPr>
    </w:p>
    <w:p>
      <w:pPr>
        <w:pStyle w:val="P1"/>
        <w:ind w:firstLine="709"/>
        <w:jc w:val="center"/>
        <w:rPr>
          <w:rStyle w:val="C3"/>
          <w:b w:val="1"/>
          <w:sz w:val="24"/>
        </w:rPr>
      </w:pPr>
    </w:p>
    <w:p>
      <w:pPr>
        <w:pStyle w:val="P1"/>
        <w:ind w:firstLine="709"/>
        <w:jc w:val="center"/>
        <w:rPr>
          <w:rStyle w:val="C3"/>
          <w:b w:val="1"/>
          <w:sz w:val="24"/>
        </w:rPr>
      </w:pPr>
      <w:r>
        <w:rPr>
          <w:rStyle w:val="C3"/>
          <w:b w:val="1"/>
          <w:sz w:val="24"/>
        </w:rPr>
        <w:t>ALTA GRACIA SANCIONA CON FUERZA DE ORDENANZA</w:t>
      </w:r>
    </w:p>
    <w:p>
      <w:pPr>
        <w:pStyle w:val="P1"/>
        <w:rPr>
          <w:rStyle w:val="C3"/>
          <w:sz w:val="24"/>
        </w:rPr>
      </w:pPr>
    </w:p>
    <w:p>
      <w:pPr>
        <w:pStyle w:val="P1"/>
        <w:ind w:hanging="709" w:left="709"/>
        <w:jc w:val="both"/>
        <w:rPr>
          <w:rStyle w:val="C3"/>
          <w:sz w:val="24"/>
        </w:rPr>
      </w:pPr>
      <w:r>
        <w:rPr>
          <w:rStyle w:val="C3"/>
          <w:b w:val="1"/>
          <w:sz w:val="24"/>
          <w:u w:val="single"/>
        </w:rPr>
        <w:t>Art. 1:</w:t>
      </w:r>
      <w:r>
        <w:rPr>
          <w:rStyle w:val="C3"/>
          <w:sz w:val="24"/>
        </w:rPr>
        <w:t xml:space="preserve"> </w:t>
      </w:r>
      <w:r>
        <w:rPr>
          <w:rStyle w:val="C3"/>
          <w:b w:val="1"/>
          <w:sz w:val="24"/>
        </w:rPr>
        <w:t xml:space="preserve">AUTORIZAR </w:t>
      </w:r>
      <w:r>
        <w:rPr>
          <w:rStyle w:val="C3"/>
          <w:sz w:val="24"/>
        </w:rPr>
        <w:t xml:space="preserve"> al Departamento Ejecutivo a confeccionar las listas de deudores de las Obras de gas que soliciten beneficiarse con el convenio firmado entre la Municipalidad y las Empresas Malvicino S.A. y Bifarey S.A., conforme a la Ordenanza Nº 4975 y que revistan carácter de Vecinos de escasos recursos. Previo a la remisión de los listados a las Empresas, los mismos deberán ser aprobados por Ordenanza del Honorable Concejo Deliberante.</w:t>
      </w:r>
    </w:p>
    <w:p>
      <w:pPr>
        <w:pStyle w:val="P1"/>
        <w:rPr>
          <w:rStyle w:val="C3"/>
          <w:sz w:val="24"/>
        </w:rPr>
      </w:pPr>
      <w:r>
        <w:rPr>
          <w:rStyle w:val="C3"/>
          <w:sz w:val="24"/>
        </w:rPr>
        <w:t>...///</w:t>
      </w: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sz w:val="24"/>
        </w:rPr>
      </w:pPr>
      <w:r>
        <w:rPr>
          <w:rStyle w:val="C3"/>
          <w:sz w:val="24"/>
        </w:rPr>
        <w:t>...///2.-</w:t>
      </w: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sz w:val="24"/>
        </w:rPr>
      </w:pPr>
      <w:r>
        <w:rPr>
          <w:rStyle w:val="C3"/>
          <w:b w:val="1"/>
          <w:sz w:val="24"/>
          <w:u w:val="single"/>
        </w:rPr>
        <w:t>Art. 2:</w:t>
      </w:r>
      <w:r>
        <w:rPr>
          <w:rStyle w:val="C3"/>
          <w:sz w:val="24"/>
        </w:rPr>
        <w:t xml:space="preserve"> </w:t>
      </w:r>
      <w:r>
        <w:rPr>
          <w:rStyle w:val="C3"/>
          <w:b w:val="1"/>
          <w:sz w:val="24"/>
        </w:rPr>
        <w:t>LOS</w:t>
      </w:r>
      <w:r>
        <w:rPr>
          <w:rStyle w:val="C3"/>
          <w:sz w:val="24"/>
        </w:rPr>
        <w:t xml:space="preserve"> vecinos incluidos en el listado aprobado por el Honorable Concejo Deliberante, según el Art. 1 de la presente Ordenanza, deberán firmar un convenio con la Municipalidad mediante el cual éstos se comprometen a devolver a la Municipalidad el importe por el cual fue saldada su deuda ante la o las Empresas acreedoras, ofreciendo las mismas garantías que para el pago de la Contribución por mejoras.</w:t>
      </w:r>
    </w:p>
    <w:p>
      <w:pPr>
        <w:pStyle w:val="P1"/>
        <w:rPr>
          <w:rStyle w:val="C3"/>
          <w:sz w:val="24"/>
        </w:rPr>
      </w:pPr>
    </w:p>
    <w:p>
      <w:pPr>
        <w:pStyle w:val="P1"/>
        <w:ind w:hanging="709" w:left="709"/>
        <w:jc w:val="both"/>
        <w:rPr>
          <w:rStyle w:val="C3"/>
          <w:sz w:val="24"/>
        </w:rPr>
      </w:pPr>
      <w:r>
        <w:rPr>
          <w:rStyle w:val="C3"/>
          <w:b w:val="1"/>
          <w:sz w:val="24"/>
          <w:u w:val="single"/>
        </w:rPr>
        <w:t>Art. 3:</w:t>
      </w:r>
      <w:r>
        <w:rPr>
          <w:rStyle w:val="C3"/>
          <w:sz w:val="24"/>
        </w:rPr>
        <w:t xml:space="preserve"> </w:t>
      </w:r>
      <w:r>
        <w:rPr>
          <w:rStyle w:val="C3"/>
          <w:b w:val="1"/>
          <w:sz w:val="24"/>
        </w:rPr>
        <w:t>ESTABLECER</w:t>
      </w:r>
      <w:r>
        <w:rPr>
          <w:rStyle w:val="C3"/>
          <w:sz w:val="24"/>
        </w:rPr>
        <w:t xml:space="preserve"> un régimen de facilidades de pago para los Vecinos de escasos recursos que suscriban el convenio establecido en el Art. 2 de la presente Ordenanza y que podrán regularizar de la siguiente manera:</w:t>
      </w:r>
    </w:p>
    <w:p>
      <w:pPr>
        <w:pStyle w:val="P1"/>
        <w:ind w:left="709"/>
        <w:rPr>
          <w:rStyle w:val="C3"/>
          <w:sz w:val="24"/>
        </w:rPr>
      </w:pPr>
    </w:p>
    <w:p>
      <w:pPr>
        <w:pStyle w:val="P1"/>
        <w:ind w:left="709"/>
        <w:jc w:val="both"/>
        <w:rPr>
          <w:rStyle w:val="C3"/>
          <w:sz w:val="24"/>
        </w:rPr>
      </w:pPr>
      <w:r>
        <w:rPr>
          <w:rStyle w:val="C3"/>
          <w:b w:val="1"/>
          <w:sz w:val="24"/>
        </w:rPr>
        <w:t>3.1)</w:t>
      </w:r>
      <w:r>
        <w:rPr>
          <w:rStyle w:val="C3"/>
          <w:sz w:val="24"/>
        </w:rPr>
        <w:t xml:space="preserve"> </w:t>
      </w:r>
      <w:r>
        <w:rPr>
          <w:rStyle w:val="C3"/>
          <w:b w:val="1"/>
          <w:sz w:val="24"/>
          <w:u w:val="single"/>
        </w:rPr>
        <w:t>FACILIDADES DE PAGO COMUN:</w:t>
      </w:r>
      <w:r>
        <w:rPr>
          <w:rStyle w:val="C3"/>
          <w:sz w:val="24"/>
        </w:rPr>
        <w:t xml:space="preserve"> El total determinado se financiará  en cuotas mensuales o bimestrales a opción del contribuyente, iguales y consecutivas, con vencimiento los días diez (10) de cada mes o día hábil posterior cuando éste sea inhábil. La cuota incluirá  el interés de financiación que se aplicará sobre los saldos deudores. La tasa de interés del financiamiento será del cero coma cinco por ciento (0,5%) mensual.</w:t>
      </w:r>
    </w:p>
    <w:p>
      <w:pPr>
        <w:pStyle w:val="P1"/>
        <w:rPr>
          <w:rStyle w:val="C3"/>
          <w:sz w:val="24"/>
        </w:rPr>
      </w:pPr>
    </w:p>
    <w:p>
      <w:pPr>
        <w:pStyle w:val="P1"/>
        <w:ind w:left="709"/>
        <w:jc w:val="both"/>
        <w:rPr>
          <w:rStyle w:val="C3"/>
          <w:sz w:val="24"/>
        </w:rPr>
      </w:pPr>
      <w:r>
        <w:rPr>
          <w:rStyle w:val="C3"/>
          <w:b w:val="1"/>
          <w:sz w:val="24"/>
        </w:rPr>
        <w:t>3.2)</w:t>
      </w:r>
      <w:r>
        <w:rPr>
          <w:rStyle w:val="C3"/>
          <w:sz w:val="24"/>
        </w:rPr>
        <w:t xml:space="preserve"> </w:t>
      </w:r>
      <w:r>
        <w:rPr>
          <w:rStyle w:val="C3"/>
          <w:b w:val="1"/>
          <w:sz w:val="24"/>
          <w:u w:val="single"/>
        </w:rPr>
        <w:t>FACILIDADES DE PAGO ESPECIALES:</w:t>
      </w:r>
      <w:r>
        <w:rPr>
          <w:rStyle w:val="C3"/>
          <w:sz w:val="24"/>
        </w:rPr>
        <w:t xml:space="preserve"> Para aquellos vecinos que manifiesten dificultades en cumplimentar una cuota fija, se suscribirán planes acordes a la situación socioeconómica demostrada y que podrían incluir cuotas variables con un interés de financiación que se aplicará sobre los saldos deudores en función de la periodicidad de pago. La tasa de interés de financiamiento será del cero coma cinco por ciento (0,5%) mensual.</w:t>
      </w:r>
    </w:p>
    <w:p>
      <w:pPr>
        <w:pStyle w:val="P1"/>
        <w:rPr>
          <w:rStyle w:val="C3"/>
          <w:sz w:val="24"/>
        </w:rPr>
      </w:pPr>
    </w:p>
    <w:p>
      <w:pPr>
        <w:pStyle w:val="P1"/>
        <w:ind w:hanging="709" w:left="709"/>
        <w:jc w:val="both"/>
        <w:rPr>
          <w:rStyle w:val="C3"/>
          <w:sz w:val="24"/>
        </w:rPr>
      </w:pPr>
      <w:r>
        <w:rPr>
          <w:rStyle w:val="C3"/>
          <w:b w:val="1"/>
          <w:sz w:val="24"/>
          <w:u w:val="single"/>
        </w:rPr>
        <w:t>Art. 4:</w:t>
      </w:r>
      <w:r>
        <w:rPr>
          <w:rStyle w:val="C3"/>
          <w:sz w:val="24"/>
        </w:rPr>
        <w:t xml:space="preserve"> </w:t>
      </w:r>
      <w:r>
        <w:rPr>
          <w:rStyle w:val="C3"/>
          <w:b w:val="1"/>
          <w:sz w:val="24"/>
        </w:rPr>
        <w:t>PARA</w:t>
      </w:r>
      <w:r>
        <w:rPr>
          <w:rStyle w:val="C3"/>
          <w:sz w:val="24"/>
        </w:rPr>
        <w:t xml:space="preserve"> el caso en que la carencia del deudor sea tal que se vea imposibilitado de cancelar la deuda mediante cualquiera de las modalidades establecidas en la presente Ordenanza, la Municipalidad gravará al inmueble por el importe total de la deuda  y con las mismas inhibiciones que rigen para la trans-</w:t>
      </w:r>
    </w:p>
    <w:p>
      <w:pPr>
        <w:pStyle w:val="P1"/>
        <w:ind w:hanging="709" w:left="709"/>
        <w:jc w:val="right"/>
        <w:rPr>
          <w:rStyle w:val="C3"/>
          <w:sz w:val="24"/>
        </w:rPr>
      </w:pPr>
      <w:r>
        <w:rPr>
          <w:rStyle w:val="C3"/>
          <w:sz w:val="24"/>
        </w:rPr>
        <w:t>...///</w:t>
      </w: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r>
        <w:rPr>
          <w:rStyle w:val="C3"/>
          <w:sz w:val="24"/>
        </w:rPr>
        <w:t>...///3.-</w:t>
      </w: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r>
        <w:rPr>
          <w:rStyle w:val="C3"/>
          <w:sz w:val="24"/>
        </w:rPr>
        <w:t>ferencia dominial establecidas para el cobro de las deudas por Tasa por Servicios a la Propiedad; no accionando judicialmente mientras no se modifiquen las condiciones previstas en el presente Artículo, o se modifique su estado dominial.</w:t>
      </w:r>
    </w:p>
    <w:p>
      <w:pPr>
        <w:pStyle w:val="P1"/>
        <w:rPr>
          <w:rStyle w:val="C3"/>
          <w:sz w:val="24"/>
        </w:rPr>
      </w:pPr>
    </w:p>
    <w:p>
      <w:pPr>
        <w:pStyle w:val="P1"/>
        <w:ind w:hanging="709" w:left="709"/>
        <w:jc w:val="both"/>
        <w:rPr>
          <w:rStyle w:val="C3"/>
          <w:sz w:val="24"/>
        </w:rPr>
      </w:pPr>
      <w:r>
        <w:rPr>
          <w:rStyle w:val="C3"/>
          <w:b w:val="1"/>
          <w:sz w:val="24"/>
          <w:u w:val="single"/>
        </w:rPr>
        <w:t>Art. 5:</w:t>
      </w:r>
      <w:r>
        <w:rPr>
          <w:rStyle w:val="C3"/>
          <w:sz w:val="24"/>
        </w:rPr>
        <w:t xml:space="preserve"> </w:t>
      </w:r>
      <w:r>
        <w:rPr>
          <w:rStyle w:val="C3"/>
          <w:b w:val="1"/>
          <w:sz w:val="24"/>
        </w:rPr>
        <w:t>PARA</w:t>
      </w:r>
      <w:r>
        <w:rPr>
          <w:rStyle w:val="C3"/>
          <w:sz w:val="24"/>
        </w:rPr>
        <w:t xml:space="preserve"> los casos contemplados en el Art. 4 de la presente Ordenanza, la Municipalidad debe emitir un nuevo Certificado de Deuda antes que opere su prescripción.</w:t>
        <w:br w:type="textWrapping"/>
      </w:r>
    </w:p>
    <w:p>
      <w:pPr>
        <w:pStyle w:val="P1"/>
        <w:ind w:hanging="709" w:left="709"/>
        <w:jc w:val="both"/>
        <w:rPr>
          <w:rStyle w:val="C3"/>
          <w:sz w:val="24"/>
        </w:rPr>
      </w:pPr>
      <w:r>
        <w:rPr>
          <w:rStyle w:val="C3"/>
          <w:b w:val="1"/>
          <w:sz w:val="24"/>
          <w:u w:val="single"/>
        </w:rPr>
        <w:t>Art. 6:</w:t>
      </w:r>
      <w:r>
        <w:rPr>
          <w:rStyle w:val="C3"/>
          <w:sz w:val="24"/>
        </w:rPr>
        <w:t xml:space="preserve"> </w:t>
      </w:r>
      <w:r>
        <w:rPr>
          <w:rStyle w:val="C3"/>
          <w:b w:val="1"/>
          <w:sz w:val="24"/>
        </w:rPr>
        <w:t>EL</w:t>
      </w:r>
      <w:r>
        <w:rPr>
          <w:rStyle w:val="C3"/>
          <w:sz w:val="24"/>
        </w:rPr>
        <w:t xml:space="preserve"> plazo que se fije para la cancelación de las obligaciones que surjan de la aplicación de la presente Ordenanza será variable en función de las condiciones acordadas, no pudiendo ser mayor a diez (10) años, rigiendo para los mismos las inhibiciones establecidas en la presente Ordenanza.</w:t>
      </w:r>
    </w:p>
    <w:p>
      <w:pPr>
        <w:pStyle w:val="P1"/>
        <w:rPr>
          <w:rStyle w:val="C3"/>
          <w:sz w:val="24"/>
        </w:rPr>
      </w:pPr>
    </w:p>
    <w:p>
      <w:pPr>
        <w:pStyle w:val="P1"/>
        <w:ind w:hanging="709" w:left="709"/>
        <w:jc w:val="both"/>
        <w:rPr>
          <w:rStyle w:val="C3"/>
          <w:sz w:val="24"/>
        </w:rPr>
      </w:pPr>
      <w:r>
        <w:rPr>
          <w:rStyle w:val="C3"/>
          <w:b w:val="1"/>
          <w:sz w:val="24"/>
          <w:u w:val="single"/>
        </w:rPr>
        <w:t>Art. 7:</w:t>
      </w:r>
      <w:r>
        <w:rPr>
          <w:rStyle w:val="C3"/>
          <w:sz w:val="24"/>
        </w:rPr>
        <w:t xml:space="preserve"> </w:t>
      </w:r>
      <w:r>
        <w:rPr>
          <w:rStyle w:val="C3"/>
          <w:b w:val="1"/>
          <w:sz w:val="24"/>
        </w:rPr>
        <w:t>A</w:t>
      </w:r>
      <w:r>
        <w:rPr>
          <w:rStyle w:val="C3"/>
          <w:sz w:val="24"/>
        </w:rPr>
        <w:t xml:space="preserve"> los fines de encuadrarse dentro de la categoría de Vecinos de Escasos Recursos se requerirá:</w:t>
      </w:r>
    </w:p>
    <w:p>
      <w:pPr>
        <w:pStyle w:val="P1"/>
        <w:rPr>
          <w:rStyle w:val="C3"/>
          <w:sz w:val="24"/>
        </w:rPr>
      </w:pPr>
    </w:p>
    <w:p>
      <w:pPr>
        <w:pStyle w:val="P1"/>
        <w:ind w:firstLine="709"/>
        <w:rPr>
          <w:rStyle w:val="C3"/>
          <w:sz w:val="24"/>
        </w:rPr>
      </w:pPr>
      <w:r>
        <w:rPr>
          <w:rStyle w:val="C3"/>
          <w:b w:val="1"/>
          <w:sz w:val="24"/>
        </w:rPr>
        <w:t>7.a)</w:t>
      </w:r>
      <w:r>
        <w:rPr>
          <w:rStyle w:val="C3"/>
          <w:sz w:val="24"/>
        </w:rPr>
        <w:t xml:space="preserve"> Apertura de un legajo con los datos del solicitante.</w:t>
      </w:r>
    </w:p>
    <w:p>
      <w:pPr>
        <w:pStyle w:val="P1"/>
        <w:rPr>
          <w:rStyle w:val="C3"/>
          <w:sz w:val="24"/>
        </w:rPr>
      </w:pPr>
    </w:p>
    <w:p>
      <w:pPr>
        <w:pStyle w:val="P1"/>
        <w:ind w:hanging="709" w:left="1418"/>
        <w:jc w:val="both"/>
        <w:rPr>
          <w:rStyle w:val="C3"/>
          <w:sz w:val="24"/>
        </w:rPr>
      </w:pPr>
      <w:r>
        <w:rPr>
          <w:rStyle w:val="C3"/>
          <w:b w:val="1"/>
          <w:sz w:val="24"/>
        </w:rPr>
        <w:t>7.b)</w:t>
      </w:r>
      <w:r>
        <w:rPr>
          <w:rStyle w:val="C3"/>
          <w:sz w:val="24"/>
        </w:rPr>
        <w:t xml:space="preserve"> Nota con carácter de Declaración Jurada consignando que posee propiedad inmobiliaria única y que el inmueble no se encuentra en venta. En caso de venta de la propiedad se deberá abonar el ciento por ciento (100%) del saldo de la deuda descontando el interés de financiación de las cuotas no vencidas.</w:t>
      </w:r>
    </w:p>
    <w:p>
      <w:pPr>
        <w:pStyle w:val="P1"/>
        <w:rPr>
          <w:rStyle w:val="C3"/>
          <w:sz w:val="24"/>
        </w:rPr>
      </w:pPr>
    </w:p>
    <w:p>
      <w:pPr>
        <w:pStyle w:val="P1"/>
        <w:ind w:left="709"/>
        <w:rPr>
          <w:rStyle w:val="C3"/>
          <w:sz w:val="24"/>
        </w:rPr>
      </w:pPr>
      <w:r>
        <w:rPr>
          <w:rStyle w:val="C3"/>
          <w:b w:val="1"/>
          <w:sz w:val="24"/>
        </w:rPr>
        <w:t>7.b.1)</w:t>
      </w:r>
      <w:r>
        <w:rPr>
          <w:rStyle w:val="C3"/>
          <w:sz w:val="24"/>
        </w:rPr>
        <w:t xml:space="preserve"> El Vecino de Escasos Recursos deberá acreditar:</w:t>
      </w:r>
    </w:p>
    <w:p>
      <w:pPr>
        <w:pStyle w:val="P1"/>
        <w:numPr>
          <w:ilvl w:val="0"/>
          <w:numId w:val="4"/>
        </w:numPr>
        <w:rPr>
          <w:rStyle w:val="C3"/>
          <w:sz w:val="24"/>
        </w:rPr>
      </w:pPr>
    </w:p>
    <w:p>
      <w:pPr>
        <w:pStyle w:val="P1"/>
        <w:ind w:left="360"/>
        <w:rPr>
          <w:rStyle w:val="C3"/>
          <w:sz w:val="24"/>
        </w:rPr>
      </w:pPr>
      <w:r>
        <w:rPr>
          <w:rStyle w:val="C3"/>
          <w:sz w:val="24"/>
        </w:rPr>
        <w:t xml:space="preserve">   * Si es propietario, copia de escritura.</w:t>
      </w:r>
    </w:p>
    <w:p>
      <w:pPr>
        <w:pStyle w:val="P1"/>
        <w:ind w:hanging="425" w:left="1134"/>
        <w:jc w:val="both"/>
        <w:rPr>
          <w:rStyle w:val="C3"/>
          <w:sz w:val="24"/>
        </w:rPr>
      </w:pPr>
      <w:r>
        <w:rPr>
          <w:rStyle w:val="C3"/>
          <w:sz w:val="24"/>
        </w:rPr>
        <w:t xml:space="preserve"> * Si es poseedor a título de dueño, copia del Boleto de                 Compraventa en forma. En ambos casos deber  presentar el original para su certificación.</w:t>
      </w:r>
    </w:p>
    <w:p>
      <w:pPr>
        <w:pStyle w:val="P1"/>
        <w:numPr>
          <w:ilvl w:val="0"/>
          <w:numId w:val="5"/>
        </w:numPr>
        <w:rPr>
          <w:rStyle w:val="C3"/>
          <w:sz w:val="24"/>
        </w:rPr>
      </w:pPr>
      <w:r>
        <w:rPr>
          <w:rStyle w:val="C3"/>
          <w:sz w:val="24"/>
        </w:rPr>
        <w:t>Otro medio de prueba que acredite su condición.</w:t>
        <w:br w:type="textWrapping"/>
      </w:r>
    </w:p>
    <w:p>
      <w:pPr>
        <w:pStyle w:val="P1"/>
        <w:ind w:left="795"/>
        <w:jc w:val="right"/>
        <w:rPr>
          <w:rStyle w:val="C3"/>
          <w:sz w:val="24"/>
        </w:rPr>
      </w:pPr>
      <w:r>
        <w:rPr>
          <w:rStyle w:val="C3"/>
          <w:sz w:val="24"/>
        </w:rPr>
        <w:t>...///</w:t>
        <w:br w:type="textWrapping"/>
      </w:r>
    </w:p>
    <w:p>
      <w:pPr>
        <w:pStyle w:val="P1"/>
        <w:ind w:left="795"/>
        <w:rPr>
          <w:rStyle w:val="C3"/>
          <w:sz w:val="24"/>
        </w:rPr>
      </w:pPr>
    </w:p>
    <w:p>
      <w:pPr>
        <w:pStyle w:val="P1"/>
        <w:ind w:left="795"/>
        <w:rPr>
          <w:rStyle w:val="C3"/>
          <w:sz w:val="24"/>
        </w:rPr>
      </w:pPr>
    </w:p>
    <w:p>
      <w:pPr>
        <w:pStyle w:val="P1"/>
        <w:ind w:left="795"/>
        <w:rPr>
          <w:rStyle w:val="C3"/>
          <w:sz w:val="24"/>
        </w:rPr>
      </w:pPr>
    </w:p>
    <w:p>
      <w:pPr>
        <w:pStyle w:val="P1"/>
        <w:ind w:left="795"/>
        <w:rPr>
          <w:rStyle w:val="C3"/>
          <w:sz w:val="24"/>
        </w:rPr>
      </w:pPr>
    </w:p>
    <w:p>
      <w:pPr>
        <w:pStyle w:val="P1"/>
        <w:rPr>
          <w:rStyle w:val="C3"/>
          <w:sz w:val="24"/>
        </w:rPr>
      </w:pPr>
      <w:r>
        <w:rPr>
          <w:rStyle w:val="C3"/>
          <w:sz w:val="24"/>
        </w:rPr>
        <w:t>...///4.-</w:t>
      </w:r>
    </w:p>
    <w:p>
      <w:pPr>
        <w:pStyle w:val="P1"/>
        <w:ind w:left="795"/>
        <w:rPr>
          <w:rStyle w:val="C3"/>
          <w:sz w:val="24"/>
        </w:rPr>
      </w:pPr>
    </w:p>
    <w:p>
      <w:pPr>
        <w:pStyle w:val="P1"/>
        <w:ind w:left="795"/>
        <w:rPr>
          <w:rStyle w:val="C3"/>
          <w:sz w:val="24"/>
        </w:rPr>
      </w:pPr>
    </w:p>
    <w:p>
      <w:pPr>
        <w:pStyle w:val="P1"/>
        <w:ind w:left="795"/>
        <w:rPr>
          <w:rStyle w:val="C3"/>
          <w:sz w:val="24"/>
        </w:rPr>
      </w:pPr>
    </w:p>
    <w:p>
      <w:pPr>
        <w:pStyle w:val="P1"/>
        <w:ind w:left="795"/>
        <w:rPr>
          <w:rStyle w:val="C3"/>
          <w:sz w:val="24"/>
        </w:rPr>
      </w:pPr>
    </w:p>
    <w:p>
      <w:pPr>
        <w:pStyle w:val="P1"/>
        <w:ind w:left="795"/>
        <w:rPr>
          <w:rStyle w:val="C3"/>
          <w:sz w:val="24"/>
        </w:rPr>
      </w:pPr>
    </w:p>
    <w:p>
      <w:pPr>
        <w:pStyle w:val="P1"/>
        <w:ind w:left="709"/>
        <w:jc w:val="both"/>
        <w:rPr>
          <w:rStyle w:val="C3"/>
          <w:sz w:val="24"/>
        </w:rPr>
      </w:pPr>
      <w:r>
        <w:rPr>
          <w:rStyle w:val="C3"/>
          <w:b w:val="1"/>
          <w:sz w:val="24"/>
        </w:rPr>
        <w:t>7.c)</w:t>
      </w:r>
      <w:r>
        <w:rPr>
          <w:rStyle w:val="C3"/>
          <w:sz w:val="24"/>
        </w:rPr>
        <w:t xml:space="preserve"> Estudio Socioeconómico que contendrá:</w:t>
        <w:br w:type="textWrapping"/>
        <w:t>- Datos completos del titular, conformación del grupo familiar, situación laboral, descripción de la vivienda, y todo otro dato de interés para el caso.</w:t>
      </w:r>
    </w:p>
    <w:p>
      <w:pPr>
        <w:pStyle w:val="P1"/>
        <w:rPr>
          <w:rStyle w:val="C3"/>
          <w:sz w:val="24"/>
        </w:rPr>
      </w:pPr>
    </w:p>
    <w:p>
      <w:pPr>
        <w:pStyle w:val="P1"/>
        <w:ind w:hanging="709" w:left="709"/>
        <w:jc w:val="both"/>
        <w:rPr>
          <w:rStyle w:val="C3"/>
          <w:sz w:val="24"/>
        </w:rPr>
      </w:pPr>
      <w:r>
        <w:rPr>
          <w:rStyle w:val="C3"/>
          <w:b w:val="1"/>
          <w:sz w:val="24"/>
          <w:u w:val="single"/>
        </w:rPr>
        <w:t>Art. 8:</w:t>
      </w:r>
      <w:r>
        <w:rPr>
          <w:rStyle w:val="C3"/>
          <w:sz w:val="24"/>
        </w:rPr>
        <w:t xml:space="preserve"> </w:t>
      </w:r>
      <w:r>
        <w:rPr>
          <w:rStyle w:val="C3"/>
          <w:b w:val="1"/>
          <w:sz w:val="24"/>
        </w:rPr>
        <w:t xml:space="preserve">LA </w:t>
      </w:r>
      <w:r>
        <w:rPr>
          <w:rStyle w:val="C3"/>
          <w:sz w:val="24"/>
        </w:rPr>
        <w:t>Sección Catastro y la Dirección de Ingresos Públicos deben asentar en sus registros la condición de cada inmueble que quede comprendido en la presente Ordenanza.</w:t>
      </w:r>
    </w:p>
    <w:p>
      <w:pPr>
        <w:pStyle w:val="P1"/>
        <w:rPr>
          <w:rStyle w:val="C3"/>
          <w:sz w:val="24"/>
        </w:rPr>
      </w:pPr>
    </w:p>
    <w:p>
      <w:pPr>
        <w:pStyle w:val="P1"/>
        <w:ind w:hanging="709" w:left="709"/>
        <w:jc w:val="both"/>
        <w:rPr>
          <w:rStyle w:val="C3"/>
          <w:sz w:val="24"/>
        </w:rPr>
      </w:pPr>
      <w:r>
        <w:rPr>
          <w:rStyle w:val="C3"/>
          <w:b w:val="1"/>
          <w:sz w:val="24"/>
          <w:u w:val="single"/>
        </w:rPr>
        <w:t>Art. 9:</w:t>
      </w:r>
      <w:r>
        <w:rPr>
          <w:rStyle w:val="C3"/>
          <w:sz w:val="24"/>
        </w:rPr>
        <w:t xml:space="preserve"> </w:t>
      </w:r>
      <w:r>
        <w:rPr>
          <w:rStyle w:val="C3"/>
          <w:b w:val="1"/>
          <w:sz w:val="24"/>
        </w:rPr>
        <w:t>DISPONESE</w:t>
      </w:r>
      <w:r>
        <w:rPr>
          <w:rStyle w:val="C3"/>
          <w:sz w:val="24"/>
        </w:rPr>
        <w:t xml:space="preserve"> la apertura de una  cuenta bancaria especial, en la cual debe depositarse lo recaudado en virtud de lo dispuesto por la presente Ordenanza. Dicho depósito debe ser afectado exclusivamente al pago de los bonos TIT.A.M..</w:t>
      </w:r>
    </w:p>
    <w:p>
      <w:pPr>
        <w:pStyle w:val="P1"/>
        <w:rPr>
          <w:rStyle w:val="C3"/>
          <w:sz w:val="24"/>
        </w:rPr>
      </w:pPr>
    </w:p>
    <w:p>
      <w:pPr>
        <w:pStyle w:val="P1"/>
        <w:ind w:hanging="709" w:left="709"/>
        <w:jc w:val="both"/>
        <w:rPr>
          <w:rStyle w:val="C3"/>
          <w:sz w:val="24"/>
        </w:rPr>
      </w:pPr>
      <w:r>
        <w:rPr>
          <w:rStyle w:val="C3"/>
          <w:b w:val="1"/>
          <w:sz w:val="24"/>
          <w:u w:val="single"/>
        </w:rPr>
        <w:t>Art.10:</w:t>
      </w:r>
      <w:r>
        <w:rPr>
          <w:rStyle w:val="C3"/>
          <w:sz w:val="24"/>
        </w:rPr>
        <w:t xml:space="preserve"> </w:t>
      </w:r>
      <w:r>
        <w:rPr>
          <w:rStyle w:val="C3"/>
          <w:b w:val="1"/>
          <w:sz w:val="24"/>
        </w:rPr>
        <w:t>DEROGASE</w:t>
      </w:r>
      <w:r>
        <w:rPr>
          <w:rStyle w:val="C3"/>
          <w:sz w:val="24"/>
        </w:rPr>
        <w:t xml:space="preserve"> la Ordenanza Nº 4167 debiendo adecuarse a las condiciones establecidas en la presente Ordenanza los convenios que se hubieren suscripto en función de la Ordenanza que por este Artículo se deroga.</w:t>
      </w:r>
    </w:p>
    <w:p>
      <w:pPr>
        <w:pStyle w:val="P1"/>
        <w:rPr>
          <w:rStyle w:val="C3"/>
          <w:sz w:val="24"/>
        </w:rPr>
      </w:pPr>
    </w:p>
    <w:p>
      <w:pPr>
        <w:pStyle w:val="P1"/>
        <w:ind w:hanging="709" w:left="709"/>
        <w:jc w:val="both"/>
        <w:rPr>
          <w:rStyle w:val="C3"/>
          <w:sz w:val="24"/>
        </w:rPr>
      </w:pPr>
      <w:r>
        <w:rPr>
          <w:rStyle w:val="C3"/>
          <w:b w:val="1"/>
          <w:sz w:val="24"/>
          <w:u w:val="single"/>
        </w:rPr>
        <w:t>Art.11:</w:t>
      </w:r>
      <w:r>
        <w:rPr>
          <w:rStyle w:val="C3"/>
          <w:sz w:val="24"/>
        </w:rPr>
        <w:t xml:space="preserve"> </w:t>
      </w:r>
      <w:r>
        <w:rPr>
          <w:rStyle w:val="C3"/>
          <w:b w:val="1"/>
          <w:sz w:val="24"/>
        </w:rPr>
        <w:t>COMUNIQUESE,</w:t>
      </w:r>
      <w:r>
        <w:rPr>
          <w:rStyle w:val="C3"/>
          <w:sz w:val="24"/>
        </w:rPr>
        <w:t xml:space="preserve"> publíquese, transcríbase  al Libro de Ordenanzas y archívese.</w:t>
      </w:r>
    </w:p>
    <w:p>
      <w:pPr>
        <w:pStyle w:val="P1"/>
        <w:rPr>
          <w:rStyle w:val="C3"/>
          <w:sz w:val="24"/>
        </w:rPr>
      </w:pPr>
    </w:p>
    <w:p>
      <w:pPr>
        <w:pStyle w:val="P1"/>
        <w:rPr>
          <w:rStyle w:val="C3"/>
          <w:sz w:val="24"/>
        </w:rPr>
      </w:pPr>
    </w:p>
    <w:p>
      <w:pPr>
        <w:pStyle w:val="P1"/>
        <w:rPr>
          <w:rStyle w:val="C3"/>
          <w:sz w:val="24"/>
        </w:rPr>
      </w:pPr>
    </w:p>
    <w:p>
      <w:pPr>
        <w:pStyle w:val="P1"/>
        <w:jc w:val="both"/>
        <w:rPr>
          <w:rStyle w:val="C3"/>
          <w:b w:val="1"/>
          <w:sz w:val="24"/>
        </w:rPr>
      </w:pPr>
      <w:r>
        <w:rPr>
          <w:rStyle w:val="C3"/>
          <w:b w:val="1"/>
          <w:sz w:val="24"/>
        </w:rPr>
        <w:t>DADA EN LA SALA DE SESIONES DEL HONORABLE CONCEJO DELIBERANTE A SIETE DIAS DEL MES DE DICIEMBRE DEL DOS MIL.</w:t>
      </w:r>
    </w:p>
    <w:sectPr>
      <w:type w:val="nextPage"/>
      <w:pgMar w:left="1319" w:right="1319" w:top="1417" w:bottom="1417" w:header="708" w:footer="708" w:gutter="0"/>
    </w:sectPr>
  </w:body>
</w:document>
</file>

<file path=word/numbering.xml><?xml version="1.0" encoding="utf-8"?>
<w:numbering xmlns:w="http://schemas.openxmlformats.org/wordprocessingml/2006/main">
  <w:abstractNum w:abstractNumId="0">
    <w:nsid w:val="09F23218"/>
    <w:multiLevelType w:val="multilevel"/>
    <w:lvl w:ilvl="0">
      <w:start w:val="7"/>
      <w:numFmt w:val="decimal"/>
      <w:suff w:val="tab"/>
      <w:lvlText w:val=""/>
      <w:lvlJc w:val="left"/>
      <w:pPr>
        <w:ind w:hanging="360" w:left="360"/>
        <w:tabs>
          <w:tab w:val="left" w:pos="360" w:leader="none"/>
        </w:tabs>
      </w:pPr>
      <w:rPr>
        <w:rFonts w:ascii="Times New Roman" w:hAnsi="Times New Roman"/>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0EF62496"/>
    <w:multiLevelType w:val="hybridMultilevel"/>
    <w:lvl w:ilvl="0" w:tplc="4585DA36">
      <w:start w:val="0"/>
      <w:numFmt w:val="bullet"/>
      <w:suff w:val="tab"/>
      <w:lvlText w:val=""/>
      <w:lvlJc w:val="left"/>
      <w:pPr>
        <w:ind w:hanging="360" w:left="1155"/>
        <w:tabs>
          <w:tab w:val="left" w:pos="1155"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3AB45CD7"/>
    <w:multiLevelType w:val="hybridMultilevel"/>
    <w:lvl w:ilvl="0" w:tplc="5647A812">
      <w:start w:val="1"/>
      <w:numFmt w:val="bullet"/>
      <w:suff w:val="tab"/>
      <w:lvlText w:val=""/>
      <w:lvlJc w:val="left"/>
      <w:pPr>
        <w:ind w:hanging="360" w:left="360"/>
        <w:tabs>
          <w:tab w:val="left"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53BA5C8C"/>
    <w:multiLevelType w:val="hybridMultilevel"/>
    <w:lvl w:ilvl="0" w:tplc="5127FA9A">
      <w:start w:val="1"/>
      <w:numFmt w:val="bullet"/>
      <w:suff w:val="tab"/>
      <w:lvlText w:val=""/>
      <w:lvlJc w:val="left"/>
      <w:pPr>
        <w:ind w:hanging="360" w:left="360"/>
        <w:tabs>
          <w:tab w:val="left"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7A6548C6"/>
    <w:multiLevelType w:val="hybridMultilevel"/>
    <w:lvl w:ilvl="0" w:tplc="0503C88E">
      <w:start w:val="1"/>
      <w:numFmt w:val="bullet"/>
      <w:suff w:val="tab"/>
      <w:lvlText w:val=""/>
      <w:lvlJc w:val="left"/>
      <w:pPr>
        <w:ind w:hanging="360" w:left="360"/>
        <w:tabs>
          <w:tab w:val="left" w:pos="360" w:leader="none"/>
        </w:tabs>
      </w:pPr>
      <w:rPr>
        <w:rFonts w:ascii="Wingdings" w:hAnsi="Wingdings"/>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3"/>
  </w:num>
  <w:num w:numId="2">
    <w:abstractNumId w:val="2"/>
  </w:num>
  <w:num w:numId="3">
    <w:abstractNumId w:val="4"/>
  </w:num>
  <w:num w:numId="4">
    <w:abstractNumId w:val="0"/>
  </w:num>
  <w:num w:numId="5">
    <w:abstractNumId w:val="1"/>
  </w:num>
</w:numbering>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exto sin formato"/>
    <w:basedOn w:val="P0"/>
    <w:next w:val="P1"/>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2002-08-09T14:05:00Z</dcterms:created>
  <cp:lastModifiedBy>Ethan Puglia</cp:lastModifiedBy>
  <dcterms:modified xsi:type="dcterms:W3CDTF">2019-03-28T17:33:33Z</dcterms:modified>
  <cp:revision>7</cp:revision>
  <dc:title>1¾   «        i   4 C C D D D NORMAL</dc:title>
</cp:coreProperties>
</file>