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77AD3F" Type="http://schemas.openxmlformats.org/officeDocument/2006/relationships/officeDocument" Target="/word/document.xml" /><Relationship Id="coreR5D77AD3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5534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sz w:val="24"/>
        </w:rPr>
        <w:t>Visto: El Expediente Nº 1408/98 iniciado por la Sra. María Sara Vilche solicitando un lote en donación; y</w:t>
      </w: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solicita el lote 1 de la Manzana 42 de Barrio Parque San Juan;</w:t>
        <w:br w:type="textWrapping"/>
        <w:br w:type="textWrapping"/>
        <w:t>Que, mediante Ordenanza Nº 4614 se desafectó del Dominio Público Municipal la Mz. 42 de Barrio Parque San Juan;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mediante Ordenanza Nº 4615 fueron donados algunos de los lotes de la Manzana mencionada quedando otros disponibles;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la solicitante, según los informes obrantes en el expediente, carece de recursos y no se registra como propietaria de inmueble;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evaluado el contenido del Expediente por Comisión de Legislación General, la misma emite despacho accediendo a lo solicitado, despacho aprobado por unanimidad en Sesión de fecha 4 de abril del 2002.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  <w:br w:type="textWrapping"/>
        <w:br w:type="textWrapping"/>
        <w:br w:type="textWrapping"/>
        <w:t>ALTA GRACIA SANCIONA CON FUERZA DE ORDENANZA</w:t>
      </w: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en  donación  a la Sra. María Sara Vilche, D.N.I. Nº F.6.199.129, con domicilio en calle Carlos Avanzi Nº 630, el Lote 1 de la Manzana 42 de Barrio Parque San Juan. 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LA</w:t>
      </w:r>
      <w:r>
        <w:rPr>
          <w:rStyle w:val="C3"/>
          <w:sz w:val="24"/>
        </w:rPr>
        <w:t xml:space="preserve"> beneficiaria deberá  edificar en un plazo máximo  de dieciocho (18) meses a partir  de la  promulgación de la presente Ordenanza, según plano aprobado  por las oficinas técnicas correspondientes.  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EL</w:t>
      </w:r>
      <w:r>
        <w:rPr>
          <w:rStyle w:val="C3"/>
          <w:sz w:val="24"/>
        </w:rPr>
        <w:t xml:space="preserve"> lote cedido es donado exclusivamente para vivienda familiar de la solicitante y su grupo familiar. La presente donación tiene el carácter de intransferible no pudiendo ser vendida o transferida durante un plazo de diez (10) años y caduca de pleno derecho si no se cumplimenta con lo prescripto en el Art. Nº 2 de la presente Ordenanza. 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LA</w:t>
      </w:r>
      <w:r>
        <w:rPr>
          <w:rStyle w:val="C3"/>
          <w:sz w:val="24"/>
        </w:rPr>
        <w:t xml:space="preserve"> presente Ordenanza es título hábil de posesión hasta tanto el Departamento Ejecutivo entregue, la correspondiente escritura traslativa de dominio.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EL</w:t>
      </w:r>
      <w:r>
        <w:rPr>
          <w:rStyle w:val="C3"/>
          <w:sz w:val="24"/>
        </w:rPr>
        <w:t xml:space="preserve"> Departamento Ejecutivo a través del  área técnica competente, debe proceder al parcelamiento y subdivisión del  lote donado a través de la presente Ordenanza, corriendo los gastos que se ocasionen por cuenta del Municipio, incluso los ocasionados por la tramitación de la escritura traslativa de dominio.   </w:t>
      </w:r>
    </w:p>
    <w:p>
      <w:pPr>
        <w:pStyle w:val="P1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COMUNIQUESE,</w:t>
      </w:r>
      <w:r>
        <w:rPr>
          <w:rStyle w:val="C3"/>
          <w:rFonts w:ascii="Courier New" w:hAnsi="Courier New"/>
          <w:sz w:val="24"/>
        </w:rPr>
        <w:t xml:space="preserve">  publíquese,  transcríbase  al Libro de Ordenanzas y archívese.</w:t>
      </w:r>
      <w:r>
        <w:rPr>
          <w:rStyle w:val="C3"/>
          <w:sz w:val="24"/>
        </w:rPr>
        <w:br w:type="textWrapping"/>
        <w:br w:type="textWrapping"/>
        <w:br w:type="textWrapping"/>
      </w:r>
      <w:r>
        <w:rPr>
          <w:rStyle w:val="C3"/>
          <w:b w:val="1"/>
          <w:sz w:val="24"/>
        </w:rPr>
        <w:br w:type="textWrapping"/>
        <w:br w:type="textWrapping"/>
        <w:br w:type="textWrapping"/>
      </w:r>
    </w:p>
    <w:p>
      <w:pPr>
        <w:pStyle w:val="P2"/>
      </w:pPr>
      <w:r>
        <w:t>DADA EN LA SALA DE SESIONES DEL HONORABLE CONCEJO DELIBERANTE A CUATRO DIAS DEL MES DE ABRIL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Texto independiente"/>
    <w:basedOn w:val="P0"/>
    <w:next w:val="P2"/>
    <w:pPr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2002-04-05T15:05:00Z</dcterms:created>
  <cp:lastModifiedBy>Ethan Puglia</cp:lastModifiedBy>
  <cp:lastPrinted>2002-04-08T10:37:00Z</cp:lastPrinted>
  <dcterms:modified xsi:type="dcterms:W3CDTF">2019-03-28T17:33:37Z</dcterms:modified>
  <cp:revision>12</cp:revision>
  <dc:title>"AÑO DEL ORDENAMIENTO JURIDICO MUNICIPAL"</dc:title>
</cp:coreProperties>
</file>