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7AC5108" Type="http://schemas.openxmlformats.org/officeDocument/2006/relationships/officeDocument" Target="/word/document.xml" /><Relationship Id="coreR67AC510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5557</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La necesidad de regular la línea de ribera y el uso de los arroyos de la ciudad y sus márgenes;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la Ordenanza Nº 4368 establece la necesidad de proteger los bienes Culturales y Naturales de la Ciudad y la Ordenanza Nº 5483 declara de Interés Municipal bajo la Categoría de “Lugar” con todos los alcances establecidos en la anterior Ordenanza a los cauces y riberas de los Arroyos Chicamtoltina, Los Paredones, Santa Cruz (Caocamillín) y Arroyo Buena Esperanza (Estancia Vieja), entendiéndose por ribera a la zona contigua a las aguas de un ancho de veinticinco metros (25 m.) desde el centro del cauce hacia ambos lados, hasta que los organismos técnicos competentes definan concretamente las mismas, siendo estos espacios reservados al uso público general;</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debe permitirse el libre acceso a estos lugares, razón por la cual en un futuro deberá materializarse una vía de circulación, que corra por ambas márgenes del arroyo a modo de avenida costanera, permitiendo la libre circulación de vehículos y peatones en adecuadas condiciones de seguridad;</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debido a la difícil situación económica general, no resulta viable comprometer al Municipio en realizar la expropiación de este espacio físico, pero si resulta conveniente realizar la necesaria regulación del uso del suelo de tal forma de minimizar el costo de la expropiación en el momento en que ésta se decida realizar.  </w:t>
      </w:r>
    </w:p>
    <w:p>
      <w:pPr>
        <w:pStyle w:val="P6"/>
        <w:rPr>
          <w:rStyle w:val="C3"/>
          <w:rFonts w:ascii="Courier New" w:hAnsi="Courier New"/>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r>
        <w:rPr>
          <w:rStyle w:val="C3"/>
          <w:rFonts w:ascii="Courier New" w:hAnsi="Courier New"/>
          <w:sz w:val="24"/>
        </w:rPr>
        <w:t>...///</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rPr>
          <w:rStyle w:val="C3"/>
          <w:rFonts w:ascii="Courier New" w:hAnsi="Courier New"/>
          <w:sz w:val="24"/>
        </w:rPr>
      </w:pPr>
      <w:r>
        <w:rPr>
          <w:rStyle w:val="C3"/>
          <w:rFonts w:ascii="Courier New" w:hAnsi="Courier New"/>
          <w:sz w:val="24"/>
        </w:rPr>
        <w:t>...///2.-</w:t>
      </w:r>
    </w:p>
    <w:p>
      <w:pPr>
        <w:ind w:left="709"/>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D</w:t>
      </w:r>
      <w:r>
        <w:rPr>
          <w:rStyle w:val="C3"/>
          <w:rFonts w:ascii="Courier New" w:hAnsi="Courier New"/>
          <w:b w:val="1"/>
          <w:sz w:val="24"/>
        </w:rPr>
        <w:t>E</w:t>
      </w:r>
      <w:r>
        <w:rPr>
          <w:rStyle w:val="C3"/>
          <w:rFonts w:ascii="Courier New" w:hAnsi="Courier New"/>
          <w:b w:val="1"/>
          <w:sz w:val="24"/>
        </w:rPr>
        <w:t>T</w:t>
      </w:r>
      <w:r>
        <w:rPr>
          <w:rStyle w:val="C3"/>
          <w:rFonts w:ascii="Courier New" w:hAnsi="Courier New"/>
          <w:b w:val="1"/>
          <w:sz w:val="24"/>
        </w:rPr>
        <w:t>E</w:t>
      </w:r>
      <w:r>
        <w:rPr>
          <w:rStyle w:val="C3"/>
          <w:rFonts w:ascii="Courier New" w:hAnsi="Courier New"/>
          <w:b w:val="1"/>
          <w:sz w:val="24"/>
        </w:rPr>
        <w:t>R</w:t>
      </w:r>
      <w:r>
        <w:rPr>
          <w:rStyle w:val="C3"/>
          <w:rFonts w:ascii="Courier New" w:hAnsi="Courier New"/>
          <w:b w:val="1"/>
          <w:sz w:val="24"/>
        </w:rPr>
        <w:t>M</w:t>
      </w:r>
      <w:r>
        <w:rPr>
          <w:rStyle w:val="C3"/>
          <w:rFonts w:ascii="Courier New" w:hAnsi="Courier New"/>
          <w:b w:val="1"/>
          <w:sz w:val="24"/>
        </w:rPr>
        <w:t>I</w:t>
      </w:r>
      <w:r>
        <w:rPr>
          <w:rStyle w:val="C3"/>
          <w:rFonts w:ascii="Courier New" w:hAnsi="Courier New"/>
          <w:b w:val="1"/>
          <w:sz w:val="24"/>
        </w:rPr>
        <w:t>N</w:t>
      </w:r>
      <w:r>
        <w:rPr>
          <w:rStyle w:val="C3"/>
          <w:rFonts w:ascii="Courier New" w:hAnsi="Courier New"/>
          <w:b w:val="1"/>
          <w:sz w:val="24"/>
        </w:rPr>
        <w:t>A</w:t>
      </w:r>
      <w:r>
        <w:rPr>
          <w:rStyle w:val="C3"/>
          <w:rFonts w:ascii="Courier New" w:hAnsi="Courier New"/>
          <w:b w:val="1"/>
          <w:sz w:val="24"/>
        </w:rPr>
        <w:t>S</w:t>
      </w:r>
      <w:r>
        <w:rPr>
          <w:rStyle w:val="C3"/>
          <w:rFonts w:ascii="Courier New" w:hAnsi="Courier New"/>
          <w:b w:val="1"/>
          <w:sz w:val="24"/>
        </w:rPr>
        <w:t>E</w:t>
      </w:r>
      <w:r>
        <w:rPr>
          <w:rStyle w:val="C3"/>
          <w:rFonts w:ascii="Courier New" w:hAnsi="Courier New"/>
          <w:b w:val="1"/>
          <w:sz w:val="24"/>
        </w:rPr>
        <w:t xml:space="preserve"> </w:t>
      </w:r>
      <w:r>
        <w:rPr>
          <w:rStyle w:val="C3"/>
          <w:rFonts w:ascii="Courier New" w:hAnsi="Courier New"/>
          <w:sz w:val="24"/>
        </w:rPr>
        <w:t>como línea de edificación, para todas las propiedades que linden con los arroyos: Buena Esperanza (Estancia Vieja), Santa Cruz (Caocamillín), Los Paredones y Chicamtoltina, a una línea imaginaria que corra paralela a la línea de ribera a una distancia de veinte metros (20 m.) con la misma.</w:t>
      </w:r>
    </w:p>
    <w:p>
      <w:pPr>
        <w:ind w:hanging="709"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P</w:t>
      </w:r>
      <w:r>
        <w:rPr>
          <w:rStyle w:val="C3"/>
          <w:rFonts w:ascii="Courier New" w:hAnsi="Courier New"/>
          <w:b w:val="1"/>
          <w:sz w:val="24"/>
        </w:rPr>
        <w:t>R</w:t>
      </w:r>
      <w:r>
        <w:rPr>
          <w:rStyle w:val="C3"/>
          <w:rFonts w:ascii="Courier New" w:hAnsi="Courier New"/>
          <w:b w:val="1"/>
          <w:sz w:val="24"/>
        </w:rPr>
        <w:t>O</w:t>
      </w:r>
      <w:r>
        <w:rPr>
          <w:rStyle w:val="C3"/>
          <w:rFonts w:ascii="Courier New" w:hAnsi="Courier New"/>
          <w:b w:val="1"/>
          <w:sz w:val="24"/>
        </w:rPr>
        <w:t>H</w:t>
      </w:r>
      <w:r>
        <w:rPr>
          <w:rStyle w:val="C3"/>
          <w:rFonts w:ascii="Courier New" w:hAnsi="Courier New"/>
          <w:b w:val="1"/>
          <w:sz w:val="24"/>
        </w:rPr>
        <w:t>Í</w:t>
      </w:r>
      <w:r>
        <w:rPr>
          <w:rStyle w:val="C3"/>
          <w:rFonts w:ascii="Courier New" w:hAnsi="Courier New"/>
          <w:b w:val="1"/>
          <w:sz w:val="24"/>
        </w:rPr>
        <w:t>B</w:t>
      </w:r>
      <w:r>
        <w:rPr>
          <w:rStyle w:val="C3"/>
          <w:rFonts w:ascii="Courier New" w:hAnsi="Courier New"/>
          <w:b w:val="1"/>
          <w:sz w:val="24"/>
        </w:rPr>
        <w:t>E</w:t>
      </w:r>
      <w:r>
        <w:rPr>
          <w:rStyle w:val="C3"/>
          <w:rFonts w:ascii="Courier New" w:hAnsi="Courier New"/>
          <w:b w:val="1"/>
          <w:sz w:val="24"/>
        </w:rPr>
        <w:t>S</w:t>
      </w:r>
      <w:r>
        <w:rPr>
          <w:rStyle w:val="C3"/>
          <w:rFonts w:ascii="Courier New" w:hAnsi="Courier New"/>
          <w:b w:val="1"/>
          <w:sz w:val="24"/>
        </w:rPr>
        <w:t>E</w:t>
      </w:r>
      <w:r>
        <w:rPr>
          <w:rStyle w:val="C3"/>
          <w:rFonts w:ascii="Courier New" w:hAnsi="Courier New"/>
          <w:b w:val="1"/>
          <w:sz w:val="24"/>
        </w:rPr>
        <w:t xml:space="preserve"> </w:t>
      </w:r>
      <w:r>
        <w:rPr>
          <w:rStyle w:val="C3"/>
          <w:rFonts w:ascii="Courier New" w:hAnsi="Courier New"/>
          <w:sz w:val="24"/>
        </w:rPr>
        <w:t>en todo el espacio comprendido entre la línea de ribera y la línea de edificación, cualquier tipo de construcción, salvo la sola delimitación de las líneas divisorias de predios y frentes de lotes, la que deberán ser realizadas mediante la colocación de postes y/o alambrados.</w:t>
      </w:r>
    </w:p>
    <w:p>
      <w:pPr>
        <w:ind w:hanging="709"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OBLIGASE</w:t>
      </w:r>
      <w:r>
        <w:rPr>
          <w:rStyle w:val="C3"/>
          <w:rFonts w:ascii="Courier New" w:hAnsi="Courier New"/>
          <w:sz w:val="24"/>
        </w:rPr>
        <w:t xml:space="preserve"> al titular de la propiedad, en los casos de no contar con la línea de ribera, a solicitar a la Secretaría de Obras y Servicios Públicos, previo a cualquier construcción, la determinación de la misma.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r>
        <w:rPr>
          <w:rStyle w:val="C3"/>
          <w:rFonts w:ascii="Courier New" w:hAnsi="Courier New"/>
        </w:rPr>
        <w:t>DADA EN LA SALA DE SESIONES DEL HONORABLE CONCEJO DELIBERANTE A DIECIOCHO DIAS DEL MES DE ABRIL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2002-04-24T16:31:00Z</dcterms:created>
  <cp:lastModifiedBy>Ethan Puglia</cp:lastModifiedBy>
  <cp:lastPrinted>2002-04-24T15:42:00Z</cp:lastPrinted>
  <dcterms:modified xsi:type="dcterms:W3CDTF">2019-03-28T17:33:37Z</dcterms:modified>
  <cp:revision>13</cp:revision>
  <dc:title>ORDENANZA  Nº  5354</dc:title>
</cp:coreProperties>
</file>