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5BC90A" Type="http://schemas.openxmlformats.org/officeDocument/2006/relationships/officeDocument" Target="/word/document.xml" /><Relationship Id="coreR65BC90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p>
    <w:p>
      <w:pPr>
        <w:pStyle w:val="P1"/>
        <w:jc w:val="center"/>
        <w:rPr>
          <w:rStyle w:val="C3"/>
          <w:b w:val="1"/>
          <w:sz w:val="24"/>
          <w:u w:val="single"/>
        </w:rPr>
      </w:pPr>
    </w:p>
    <w:p>
      <w:pPr>
        <w:pStyle w:val="P1"/>
        <w:jc w:val="center"/>
        <w:rPr>
          <w:rStyle w:val="C3"/>
          <w:b w:val="1"/>
          <w:sz w:val="24"/>
          <w:u w:val="single"/>
        </w:rPr>
      </w:pPr>
      <w:r>
        <w:rPr>
          <w:rStyle w:val="C3"/>
          <w:b w:val="1"/>
          <w:sz w:val="24"/>
          <w:u w:val="single"/>
        </w:rPr>
        <w:t xml:space="preserve">ORDENANZA  Nº  557</w:t>
      </w:r>
      <w:r>
        <w:rPr>
          <w:rStyle w:val="C3"/>
          <w:b w:val="1"/>
          <w:sz w:val="24"/>
          <w:u w:val="single"/>
        </w:rPr>
        <w:t>6</w:t>
      </w:r>
    </w:p>
    <w:p>
      <w:pPr>
        <w:pStyle w:val="P1"/>
        <w:jc w:val="both"/>
        <w:rPr>
          <w:rStyle w:val="C3"/>
          <w:sz w:val="24"/>
        </w:rPr>
      </w:pPr>
    </w:p>
    <w:p>
      <w:pPr>
        <w:pStyle w:val="P1"/>
        <w:jc w:val="both"/>
        <w:rPr>
          <w:rStyle w:val="C3"/>
          <w:sz w:val="24"/>
        </w:rPr>
      </w:pPr>
    </w:p>
    <w:p>
      <w:pPr>
        <w:pStyle w:val="P1"/>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 xml:space="preserve">Visto: El  Expediente Nº 2326/96 presentado por la Sra. Lidia Irene Glass solicitando la donación del lote “5 A” – Mz. Of. “6” – C.3 – S.1 - Mz. 266 – Parc. 9 ubicado en Barrio Residencial El Crucero; y</w:t>
      </w:r>
    </w:p>
    <w:p>
      <w:pPr>
        <w:pStyle w:val="P1"/>
        <w:jc w:val="both"/>
        <w:rPr>
          <w:rStyle w:val="C3"/>
          <w:sz w:val="24"/>
        </w:rPr>
      </w:pPr>
    </w:p>
    <w:p>
      <w:pPr>
        <w:pStyle w:val="P1"/>
        <w:jc w:val="both"/>
        <w:rPr>
          <w:rStyle w:val="C3"/>
          <w:sz w:val="24"/>
        </w:rPr>
      </w:pPr>
    </w:p>
    <w:p>
      <w:pPr>
        <w:pStyle w:val="P1"/>
        <w:ind w:left="709"/>
        <w:jc w:val="center"/>
        <w:rPr>
          <w:rStyle w:val="C3"/>
          <w:sz w:val="24"/>
        </w:rPr>
      </w:pPr>
      <w:r>
        <w:rPr>
          <w:rStyle w:val="C3"/>
          <w:sz w:val="24"/>
        </w:rPr>
        <w:t>C O N S I D E R A N D O</w:t>
      </w:r>
    </w:p>
    <w:p>
      <w:pPr>
        <w:pStyle w:val="P1"/>
        <w:jc w:val="both"/>
        <w:rPr>
          <w:rStyle w:val="C3"/>
          <w:sz w:val="24"/>
        </w:rPr>
      </w:pPr>
    </w:p>
    <w:p>
      <w:pPr>
        <w:pStyle w:val="P1"/>
        <w:jc w:val="both"/>
        <w:rPr>
          <w:rStyle w:val="C3"/>
          <w:sz w:val="24"/>
        </w:rPr>
      </w:pPr>
    </w:p>
    <w:p>
      <w:pPr>
        <w:pStyle w:val="P1"/>
        <w:ind w:left="709"/>
        <w:jc w:val="both"/>
        <w:rPr>
          <w:rStyle w:val="C3"/>
          <w:sz w:val="24"/>
        </w:rPr>
      </w:pPr>
      <w:r>
        <w:rPr>
          <w:rStyle w:val="C3"/>
          <w:sz w:val="24"/>
        </w:rPr>
        <w:t>Que la Sra. Lidia Irene Glass reúne los requisitos que establece la Ordenanza Nº 3369;</w:t>
      </w:r>
    </w:p>
    <w:p>
      <w:pPr>
        <w:pStyle w:val="P1"/>
        <w:ind w:left="709"/>
        <w:jc w:val="both"/>
        <w:rPr>
          <w:rStyle w:val="C3"/>
          <w:sz w:val="24"/>
        </w:rPr>
      </w:pPr>
    </w:p>
    <w:p>
      <w:pPr>
        <w:pStyle w:val="P1"/>
        <w:ind w:left="709"/>
        <w:jc w:val="both"/>
        <w:rPr>
          <w:rStyle w:val="C3"/>
          <w:sz w:val="24"/>
        </w:rPr>
      </w:pPr>
      <w:r>
        <w:rPr>
          <w:rStyle w:val="C3"/>
          <w:sz w:val="24"/>
        </w:rPr>
        <w:t>Que evaluado el Expediente por la Comisión de Legislación General, la misma emite despacho por unanimidad otorgando en donación el lote solicitado, despacho aprobado por unanimidad en Sesión de fecha 16 de mayo de 2002.</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jc w:val="both"/>
        <w:rPr>
          <w:rStyle w:val="C3"/>
          <w:sz w:val="24"/>
        </w:rPr>
      </w:pPr>
    </w:p>
    <w:p>
      <w:pPr>
        <w:pStyle w:val="P1"/>
        <w:jc w:val="both"/>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en  donación  la Sra. Lidia Irene Glass, D.N.I. Nº 22.096.799, el lote “5 A” – Mz. Of. “6”, designación catastral 3-1-266-9.</w:t>
      </w:r>
    </w:p>
    <w:p>
      <w:pPr>
        <w:pStyle w:val="P1"/>
        <w:jc w:val="both"/>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L</w:t>
      </w:r>
      <w:r>
        <w:rPr>
          <w:rStyle w:val="C3"/>
          <w:b w:val="1"/>
          <w:sz w:val="24"/>
        </w:rPr>
        <w:t>A</w:t>
      </w:r>
      <w:r>
        <w:rPr>
          <w:rStyle w:val="C3"/>
          <w:sz w:val="24"/>
        </w:rPr>
        <w:t xml:space="preserve"> beneficiaria deberá edificar en un plazo máximo de dieciocho (18) meses a partir de la promulgación de la presente Ordenanza, según el correspondiente plano aprobado por las oficinas técnicas correspondientes.</w:t>
      </w:r>
    </w:p>
    <w:p>
      <w:pPr>
        <w:pStyle w:val="P1"/>
        <w:jc w:val="both"/>
        <w:rPr>
          <w:rStyle w:val="C3"/>
          <w:sz w:val="24"/>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 anterior, conforme lo dispuesto en el art. 6 de la Ordenanza Nº 3369.</w:t>
      </w:r>
    </w:p>
    <w:p>
      <w:pPr>
        <w:pStyle w:val="P1"/>
        <w:jc w:val="right"/>
        <w:rPr>
          <w:rStyle w:val="C3"/>
          <w:sz w:val="24"/>
        </w:rPr>
      </w:pPr>
      <w:r>
        <w:rPr>
          <w:rStyle w:val="C3"/>
          <w:sz w:val="24"/>
        </w:rPr>
        <w:t>...///</w:t>
      </w: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sz w:val="24"/>
        </w:rPr>
      </w:pPr>
      <w:r>
        <w:rPr>
          <w:rStyle w:val="C3"/>
          <w:sz w:val="24"/>
        </w:rPr>
        <w:t>...///2.-</w:t>
      </w:r>
    </w:p>
    <w:p>
      <w:pPr>
        <w:pStyle w:val="P1"/>
        <w:jc w:val="both"/>
        <w:rPr>
          <w:rStyle w:val="C3"/>
          <w:sz w:val="24"/>
        </w:rPr>
      </w:pPr>
    </w:p>
    <w:p>
      <w:pPr>
        <w:pStyle w:val="P1"/>
        <w:jc w:val="both"/>
        <w:rPr>
          <w:rStyle w:val="C3"/>
          <w:sz w:val="24"/>
        </w:rPr>
      </w:pPr>
    </w:p>
    <w:p>
      <w:pPr>
        <w:pStyle w:val="P1"/>
        <w:jc w:val="both"/>
        <w:rPr>
          <w:rStyle w:val="C3"/>
          <w:sz w:val="24"/>
        </w:rPr>
      </w:pP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la beneficiaria abonar en su totalidad las cargas tributarias que gravan el inmueble, las contribuciones por mejoras y los gastos de transferencia de dominio. En el supuesto de incumplimiento de esta obligación, la Municipalidad no se hará  cargo en ningún caso de las erogaciones que debe pagar el beneficiario de acuerdo al presente artículo.</w:t>
      </w:r>
    </w:p>
    <w:p>
      <w:pPr>
        <w:pStyle w:val="P1"/>
        <w:jc w:val="both"/>
        <w:rPr>
          <w:rStyle w:val="C3"/>
          <w:sz w:val="24"/>
        </w:rPr>
      </w:pPr>
    </w:p>
    <w:p>
      <w:pPr>
        <w:pStyle w:val="P1"/>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 la solicitante y su grupo familiar siendo intransferible de acuerdo a lo estipulado en el art. 2 de la Ordenanza Nº 3369.</w:t>
      </w:r>
    </w:p>
    <w:p>
      <w:pPr>
        <w:pStyle w:val="P1"/>
        <w:jc w:val="both"/>
        <w:rPr>
          <w:rStyle w:val="C3"/>
          <w:sz w:val="24"/>
        </w:rPr>
      </w:pP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 conforme a lo establecido por el art. 7 de la Ordenanza Nº 3369.</w:t>
      </w:r>
    </w:p>
    <w:p>
      <w:pPr>
        <w:pStyle w:val="P1"/>
        <w:jc w:val="both"/>
        <w:rPr>
          <w:rStyle w:val="C3"/>
          <w:sz w:val="24"/>
        </w:rPr>
      </w:pPr>
    </w:p>
    <w:p>
      <w:pPr>
        <w:pStyle w:val="P1"/>
        <w:ind w:hanging="709" w:left="709"/>
        <w:jc w:val="both"/>
        <w:rPr>
          <w:rStyle w:val="C3"/>
          <w:sz w:val="24"/>
        </w:rPr>
      </w:pPr>
      <w:r>
        <w:rPr>
          <w:rStyle w:val="C3"/>
          <w:b w:val="1"/>
          <w:sz w:val="24"/>
          <w:u w:val="single"/>
        </w:rPr>
        <w:t>Art.7:</w:t>
      </w:r>
      <w:r>
        <w:rPr>
          <w:rStyle w:val="C3"/>
          <w:sz w:val="24"/>
        </w:rPr>
        <w:t xml:space="preserve"> </w:t>
      </w:r>
      <w:r>
        <w:rPr>
          <w:rStyle w:val="C3"/>
          <w:b w:val="1"/>
          <w:sz w:val="24"/>
        </w:rPr>
        <w:t>AUTORIZASE</w:t>
      </w:r>
      <w:r>
        <w:rPr>
          <w:rStyle w:val="C3"/>
          <w:sz w:val="24"/>
        </w:rPr>
        <w:t xml:space="preserve">  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siendo los gastos a cargo del beneficiario.</w:t>
      </w:r>
    </w:p>
    <w:p>
      <w:pPr>
        <w:pStyle w:val="P1"/>
        <w:jc w:val="both"/>
        <w:rPr>
          <w:rStyle w:val="C3"/>
          <w:sz w:val="24"/>
        </w:rPr>
      </w:pPr>
    </w:p>
    <w:p>
      <w:pPr>
        <w:pStyle w:val="P1"/>
        <w:ind w:hanging="709" w:left="709"/>
        <w:jc w:val="both"/>
        <w:rPr>
          <w:rStyle w:val="C3"/>
          <w:sz w:val="24"/>
        </w:rPr>
      </w:pPr>
      <w:r>
        <w:rPr>
          <w:rStyle w:val="C3"/>
          <w:b w:val="1"/>
          <w:sz w:val="24"/>
          <w:u w:val="single"/>
        </w:rPr>
        <w:t>Art.8:</w:t>
      </w:r>
      <w:r>
        <w:rPr>
          <w:rStyle w:val="C3"/>
          <w:sz w:val="24"/>
        </w:rPr>
        <w:t xml:space="preserve"> </w:t>
      </w:r>
      <w:r>
        <w:rPr>
          <w:rStyle w:val="C3"/>
          <w:b w:val="1"/>
          <w:sz w:val="24"/>
        </w:rPr>
        <w:t>COMUNIQUESE,</w:t>
      </w:r>
      <w:r>
        <w:rPr>
          <w:rStyle w:val="C3"/>
          <w:sz w:val="24"/>
        </w:rPr>
        <w:t xml:space="preserve"> publíquese, transcríbase al Libro de Ordenanzas y archívese.</w:t>
      </w: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b w:val="1"/>
          <w:sz w:val="52"/>
        </w:rPr>
      </w:pPr>
      <w:r>
        <w:rPr>
          <w:rStyle w:val="C3"/>
          <w:b w:val="1"/>
          <w:sz w:val="24"/>
        </w:rPr>
        <w:t>DADA EN LA SALA DE SESIONES DEL HONORABLE CONCEJO DELIBERANTE A DIECISEIS DIAS DEL MES DE MAYO DEL AÑO DOS MIL DOS.</w:t>
      </w: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2002-05-21T11:51:00Z</dcterms:created>
  <cp:lastModifiedBy>Ethan Puglia</cp:lastModifiedBy>
  <cp:lastPrinted>2002-05-20T16:44:00Z</cp:lastPrinted>
  <dcterms:modified xsi:type="dcterms:W3CDTF">2019-03-28T17:33:38Z</dcterms:modified>
  <cp:revision>5</cp:revision>
  <dc:title>1¾   «        M</dc:title>
</cp:coreProperties>
</file>