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F21B53" Type="http://schemas.openxmlformats.org/officeDocument/2006/relationships/officeDocument" Target="/word/document.xml" /><Relationship Id="coreR1EF21B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557</w:t>
      </w:r>
      <w:r>
        <w:rPr>
          <w:rStyle w:val="C3"/>
          <w:b w:val="1"/>
          <w:sz w:val="24"/>
          <w:u w:val="single"/>
        </w:rPr>
        <w:t>9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68/02 iniciado por el Sr. Carlos Alberto Palacios solicitando exención de deuda de Tasa por Servicios a la Propiedad;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 solicitado se encuadra en lo establecido en la Ordenanza Nº 3873, Capítulo IV, Art. 78, inc. 8);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solicitado, despacho aprobado por unanimidad en Sesión de fecha 16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solicitante del pago del setenta por ciento (70%) de Tasa por Servicios a la Propiedad por el inmueble designación catastral 03-01-367-005-000, haciendo extensiva la exención a la deuda que a la fecha mantiene con el Municipio en tal concepto, debiendo suscribir por dicha deuda, un plan de pagos acorde a sus posibilidades; la exención otorgada se mantendrá mientras subsistan las condiciones que dieron lugar a la misma.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DIECISEIS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2002-05-21T13:43:00Z</dcterms:created>
  <cp:lastModifiedBy>Ethan Puglia</cp:lastModifiedBy>
  <cp:lastPrinted>2002-05-21T13:06:00Z</cp:lastPrinted>
  <dcterms:modified xsi:type="dcterms:W3CDTF">2019-03-28T17:33:38Z</dcterms:modified>
  <cp:revision>9</cp:revision>
  <dc:title>1¾   «        M</dc:title>
</cp:coreProperties>
</file>