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BD5996" Type="http://schemas.openxmlformats.org/officeDocument/2006/relationships/officeDocument" Target="/word/document.xml" /><Relationship Id="coreRCBD599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559</w:t>
      </w:r>
      <w:r>
        <w:rPr>
          <w:rStyle w:val="C3"/>
          <w:rFonts w:ascii="Courier New" w:hAnsi="Courier New"/>
          <w:color w:val="000000"/>
        </w:rPr>
        <w:t>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352/02 iniciado por la Sra. María Cristina Albarracín solicitando autorización para subdivisión y unificación de lotes de su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de la subdivisión solicitada surge que los lotes resultantes respetan el frente mínimo exigido en la zona, pero no alcanzan al mínimo de la superficie, que es de Quinientos metros cuadrados (500 m²);</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superficie resultante de la subdivisión es de Cuatrocientos Veinte metros cuadrados (420 m²), no afectando el parcelamiento de la zona;</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Expediente por Comisión de Obras Públicas, la misma emite despacho autorizando lo solicitado, despacho aprobado por mayoría en Sesión de fecha 23 de mayo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w:t>
      </w:r>
      <w:r>
        <w:rPr>
          <w:rStyle w:val="C3"/>
          <w:rFonts w:ascii="Courier New" w:hAnsi="Courier New"/>
          <w:b w:val="1"/>
          <w:sz w:val="24"/>
        </w:rPr>
        <w:t xml:space="preserve"> </w:t>
      </w:r>
      <w:r>
        <w:rPr>
          <w:rStyle w:val="C3"/>
          <w:rFonts w:ascii="Courier New" w:hAnsi="Courier New"/>
          <w:sz w:val="24"/>
        </w:rPr>
        <w:t>vía de excepción el fraccionamiento de los lotes de propiedad de la Sra. María Cristina Albarracín, D.N.I. Nº F 5.635.691, ubicados en la Manzana 63 (B) del Plano U 75 de Villa Carlos Pellegrini conforme a croquis adjunto a fs. 3 del Expediente Nº 352/02.</w:t>
      </w:r>
    </w:p>
    <w:p>
      <w:pPr>
        <w:ind w:left="709"/>
        <w:jc w:val="right"/>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2002-05-28T16:22:00Z</dcterms:created>
  <cp:lastModifiedBy>Ethan Puglia</cp:lastModifiedBy>
  <cp:lastPrinted>2002-05-28T16:17:00Z</cp:lastPrinted>
  <dcterms:modified xsi:type="dcterms:W3CDTF">2019-03-28T17:33:38Z</dcterms:modified>
  <cp:revision>11</cp:revision>
  <dc:title>ORDENANZA  Nº  5354</dc:title>
</cp:coreProperties>
</file>