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4805899" Type="http://schemas.openxmlformats.org/officeDocument/2006/relationships/officeDocument" Target="/word/document.xml" /><Relationship Id="coreR7480589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5595</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Ordenanza Nº 5027 mediante la cual se autoriza la confección del listado de deudores de las obras de gas, que soliciten beneficiarse con el convenio firmado entre la Municipalidad y las Empresas Malvicino S.A. y Bifarey S.A., revistiendo el carácter de vecinos de escasos recursos;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en el Art. 9 de la citada norma se establece el destino de lo recaudado, diciendo en su última parte: “Dicho depósito debe ser afectado exclusivamente al pago de los bonos TIT.A.M.”;</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al no existir los bonos TIT.A.M., el destino de los fondos recaudados debe ser la exclusiva cancelación de las deudas de los restantes contribuyentes incluidos en la Ordenanza Nº 5210.</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MODIFÍQUESE</w:t>
      </w:r>
      <w:r>
        <w:rPr>
          <w:rStyle w:val="C3"/>
          <w:rFonts w:ascii="Courier New" w:hAnsi="Courier New"/>
          <w:sz w:val="24"/>
        </w:rPr>
        <w:t xml:space="preserve"> el Art. 9 de la Ordenanza Nº 5027, el cual quedará redactado de la siguiente manera: “Dispónese la apertura de una cuenta bancaria especial en la cual debe depositarse lo recaudado en virtud de lo dispuesto por la presente Ordenanza. Dicho depósito debe ser afectado exclusivamente a la cancelación de las deudas de los vecinos incluidos en la Ordenanza Nº 5210”.</w:t>
      </w:r>
    </w:p>
    <w:p>
      <w:pPr>
        <w:ind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VEINTITRES DIAS DEL MES DE MAYO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2002-05-30T14:49:00Z</dcterms:created>
  <cp:lastModifiedBy>Ethan Puglia</cp:lastModifiedBy>
  <cp:lastPrinted>2002-05-30T16:51:00Z</cp:lastPrinted>
  <dcterms:modified xsi:type="dcterms:W3CDTF">2019-03-28T17:33:38Z</dcterms:modified>
  <cp:revision>9</cp:revision>
  <dc:title>ORDENANZA  Nº  5354</dc:title>
</cp:coreProperties>
</file>