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BC86E6" Type="http://schemas.openxmlformats.org/officeDocument/2006/relationships/officeDocument" Target="/word/document.xml" /><Relationship Id="coreR2BBC86E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5623</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392/02 iniciado por Comisión Directiva de Central Basket Ball Club solicitando reconsideración de deuda de Tasa por Servicios de Inspección General e Higiene y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solicitud de exención se encuadra en lo establecido en la Ordenanza Nº 3873, Art. 78 inc. 2, que contempla las exenciones de Tasa por Servicios a la Propiedad de inmuebles pertenecientes a entidades sin fines de lucro;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esta institución promueve e impulsa las actividades recreativas y deportivas en nuestra ciudad y facilita sus instalaciones sin cargo alguno a distintas escuelas;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20 de junio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a Central Basket  Ball Club del pago de Tasa por Servicios a la Propiedad correspondiente al año 2002 por el inmueble designación catastral 01-01-069-021-000.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EXIMIR </w:t>
      </w:r>
      <w:r>
        <w:rPr>
          <w:rStyle w:val="C3"/>
          <w:rFonts w:ascii="Courier New" w:hAnsi="Courier New"/>
          <w:sz w:val="24"/>
        </w:rPr>
        <w:t xml:space="preserve">a Central Basket  Ball Club del pago del cincuenta  por  ciento (50%) de la deuda que en concepto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     de Tasa por Servicios de Inspección General e Higiene mantiene con el Municipio, Legajo Nº 297; estableciendo que el cincuenta por ciento (50%) restante se eximirá con las siguientes condiciones: que el monto total adeudado a la fecha correspondiente al cincuenta por ciento (50%) de la deuda, sea utilizado por el Club para la adquisición de elementos deportivos o reparaciones o mejoras de los lugares destinados a la práctica de deportes, debiendo acreditar fehacientemente las compras o erogaciones realizadas en el plazo de un (1) año desde la sanción de la presente, ante el área competente del Departamento Ejecutivo, para que se efectivice la exención, caso contrario sólo se eximirá lo debidamente acreditado.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2002-06-21T15:06:00Z</dcterms:created>
  <cp:lastModifiedBy>Ethan Puglia</cp:lastModifiedBy>
  <cp:lastPrinted>2002-05-30T15:16:00Z</cp:lastPrinted>
  <dcterms:modified xsi:type="dcterms:W3CDTF">2019-03-28T17:33:38Z</dcterms:modified>
  <cp:revision>10</cp:revision>
  <dc:title>ORDENANZA  Nº  5354</dc:title>
</cp:coreProperties>
</file>