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071A57" Type="http://schemas.openxmlformats.org/officeDocument/2006/relationships/officeDocument" Target="/word/document.xml" /><Relationship Id="coreR5B071A5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5636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1234/01 iniciado por la Sra. Beatriz Ramos solicitando exención de deuda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con ingresos inestables conforme al relevamiento obrante en el estudio socioeconómico;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sugiriendo reducir la deuda y fijar un monto mínimo de cuota de Tasa por Servicios a la Propiedad, despacho aprobado por unanimidad en Sesión de fecha 4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REDUCIR </w:t>
      </w:r>
      <w:r>
        <w:rPr>
          <w:rStyle w:val="C3"/>
          <w:rFonts w:ascii="Courier New" w:hAnsi="Courier New"/>
          <w:sz w:val="24"/>
        </w:rPr>
        <w:t>en un cincuenta por ciento (50%) el monto de la deuda que mantiene con el Municipio el inmueble designación catastral 03-01-030-002-000 desde 98/05 a 01/12 inclusive.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</w:t>
      </w:r>
      <w:r>
        <w:rPr>
          <w:rStyle w:val="C3"/>
          <w:rFonts w:ascii="Courier New" w:hAnsi="Courier New"/>
          <w:sz w:val="24"/>
        </w:rPr>
        <w:t xml:space="preserve"> al Departamento Ejecutivo a otorgar un plan de pagos al Contribuyente por el cincuenta por ciento (50%) restante de la deuda, en cuotas acordes a sus posibilidades.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de Tasa por Servicios a la Propiedad y por el corriente año, la suma de PESOS TRES ($ 3.-) conforme a lo establecido en el Art. 3 de la Ordenanza Nº 5485.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2002-07-10T14:00:00Z</dcterms:created>
  <cp:lastModifiedBy>Ethan Puglia</cp:lastModifiedBy>
  <cp:lastPrinted>2002-05-30T15:16:00Z</cp:lastPrinted>
  <dcterms:modified xsi:type="dcterms:W3CDTF">2019-03-28T17:33:39Z</dcterms:modified>
  <cp:revision>9</cp:revision>
  <dc:title>ORDENANZA  Nº  5354</dc:title>
</cp:coreProperties>
</file>