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9411EA" Type="http://schemas.openxmlformats.org/officeDocument/2006/relationships/officeDocument" Target="/word/document.xml" /><Relationship Id="coreR6A9411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1093/98 iniciado por la Sra. Stella Maris Giménez solicitando exención de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sugiere eximir en un ochenta por ciento (80%) dada la difícil situación por la que atraviesa junto a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cuotas acordes a las posibilidades de la contribuyente, despacho aprobado por unanimidad en Sesión de fecha 4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 </w:t>
      </w:r>
      <w:r>
        <w:rPr>
          <w:rStyle w:val="C3"/>
          <w:rFonts w:ascii="Courier New" w:hAnsi="Courier New"/>
          <w:sz w:val="24"/>
        </w:rPr>
        <w:t>en un ochenta por ciento (80%) la deuda que en concepto de Tasa por Servicios a la Propiedad mantiene con el Municipio el inmueble designación catastral 3-01-014-013-000 debiendo la contribuyente suscribir un plan de pagos por el veinte por ciento (20%) restante de hasta cuarenta y ocho (48) cuotas, donde se incluyan las costas y honorarios de los períodos que se encuentran en juicio.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el monto de PESOS CINCO ($ 5.-) a abonar en concepto de cuota de Tasa por Servicios a la Propiedad desde la sanción de la presente y hasta diciembre de 2003 inclusive, conforme a lo establecido en el Art. 3 de la Ordenanza Nº 5485, eximiendo a la solicitante de una (1) cuota del plan suscripto por el veinte por cien-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to (20%) de la deuda, por cada cuota pagada en término conforme a lo establecido en el presente artículo, quedando excluidos los honorarios profesionales del procurador interviniente del beneficio de exención otorgada.</w:t>
      </w:r>
    </w:p>
    <w:p>
      <w:pPr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2002-07-10T15:09:00Z</dcterms:created>
  <cp:lastModifiedBy>Ethan Puglia</cp:lastModifiedBy>
  <cp:lastPrinted>2002-07-10T15:29:00Z</cp:lastPrinted>
  <dcterms:modified xsi:type="dcterms:W3CDTF">2019-03-28T17:33:39Z</dcterms:modified>
  <cp:revision>9</cp:revision>
  <dc:title>ORDENANZA  Nº  5354</dc:title>
</cp:coreProperties>
</file>