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D7B3E63" Type="http://schemas.openxmlformats.org/officeDocument/2006/relationships/officeDocument" Target="/word/document.xml" /><Relationship Id="coreR5D7B3E6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5643</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El Art. 54 de la Ordenanza Nº 2147, Estatuto del Empleado Municipal, el cual establece la bonificación por jubilación;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en la gran mayoría de los casos el agente municipal no accede a este legítimo derecho, por presentar las solicitudes de pago de la bonificación, en forma extemporánea;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dicha presentación extemporánea, no puede ni debe interpretarse como una renuncia a su derecho, sino a la mala interpretación involuntaria que del mismo artículo hacen los propios interesados;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si la intención del Art. 54, es premiar al trabajador que durante casi toda una vida ha prestado sus servicios en la Administración Municipal, el mismo debe ser de una claridad tal que no pueda ser proclive a distintas interpretaciones y de esta forma malograr su objetivo fundamental;</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si como se sostiene en las denegatorias de dicho derecho, la claridad del Art. 54 fuera “Meridiana”, los trabajadores no incurrirían en tan gruesos errores que atentan contra sus propios intereses;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por una razón de estricta Justicia, se debe propender a que el beneficio de referencia sea otorgada a quien corresponda, sin que medie impedimento alguno que desvirtúe su fin;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es sintomática la gran cantidad de solicitudes rechazadas, determinando indubitablmente que el referido Art. 54 no cumple con el objeto central, el cual no es otro que el otorgamiento del beneficio al trabajador que se acoge a la jubilación ordinaria;</w:t>
      </w:r>
    </w:p>
    <w:p>
      <w:pPr>
        <w:pStyle w:val="P6"/>
        <w:jc w:val="right"/>
        <w:rPr>
          <w:rStyle w:val="C3"/>
          <w:rFonts w:ascii="Courier New" w:hAnsi="Courier New"/>
        </w:rPr>
      </w:pPr>
      <w:r>
        <w:rPr>
          <w:rStyle w:val="C3"/>
          <w:rFonts w:ascii="Courier New" w:hAnsi="Courier New"/>
        </w:rPr>
        <w:t>...///</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...///2.-</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es necesario también adecuar el Art. 50 de la Ordenanza Nº 2147, con el fin de guardar coherencia de objetivos.</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MODIFIQUESE </w:t>
      </w:r>
      <w:r>
        <w:rPr>
          <w:rStyle w:val="C3"/>
          <w:rFonts w:ascii="Courier New" w:hAnsi="Courier New"/>
          <w:sz w:val="24"/>
        </w:rPr>
        <w:t>el Art. 54 de la Ordenanza Nº 2147, el cual quedará redactado de la siguiente manera:</w:t>
      </w:r>
    </w:p>
    <w:p>
      <w:pPr>
        <w:ind w:left="709"/>
        <w:jc w:val="both"/>
        <w:rPr>
          <w:rStyle w:val="C3"/>
          <w:rFonts w:ascii="Courier New" w:hAnsi="Courier New"/>
          <w:sz w:val="24"/>
        </w:rPr>
      </w:pPr>
      <w:r>
        <w:rPr>
          <w:rStyle w:val="C3"/>
          <w:rFonts w:ascii="Courier New" w:hAnsi="Courier New"/>
          <w:sz w:val="24"/>
        </w:rPr>
        <w:t>“El personal que obtenga el beneficio de la jubilación ordinaria, percibirá una asignación especial consistente en un (1) mes de la mejor remuneración percibida en los últimos seis (6) meses, por cada si</w:t>
      </w:r>
      <w:r>
        <w:rPr>
          <w:rStyle w:val="C3"/>
          <w:rFonts w:ascii="Courier New" w:hAnsi="Courier New"/>
        </w:rPr>
        <w:t>ete</w:t>
      </w:r>
      <w:r>
        <w:rPr>
          <w:rStyle w:val="C3"/>
          <w:rFonts w:ascii="Courier New" w:hAnsi="Courier New"/>
          <w:sz w:val="24"/>
        </w:rPr>
        <w:t xml:space="preserve"> (</w:t>
      </w:r>
      <w:r>
        <w:rPr>
          <w:rStyle w:val="C3"/>
          <w:rFonts w:ascii="Courier New" w:hAnsi="Courier New"/>
        </w:rPr>
        <w:t>7</w:t>
      </w:r>
      <w:r>
        <w:rPr>
          <w:rStyle w:val="C3"/>
          <w:rFonts w:ascii="Courier New" w:hAnsi="Courier New"/>
          <w:sz w:val="24"/>
        </w:rPr>
        <w:t>) años de servicios prestados en la Administración Municipal. Para hacerse acreedor a este beneficio el agente municipal deberá presentar ante la oficina de Recursos Humanos, la Resolución de la Caja de Jubilaciones mediante la cual se le otorga definitivamente el beneficio de la jubilación”.</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MODIFIQUESE </w:t>
      </w:r>
      <w:r>
        <w:rPr>
          <w:rStyle w:val="C3"/>
          <w:rFonts w:ascii="Courier New" w:hAnsi="Courier New"/>
          <w:sz w:val="24"/>
        </w:rPr>
        <w:t>el Art. 50 de la Ordenanza Nº 2147, el cual quedará redactado de la siguiente manera:</w:t>
      </w:r>
    </w:p>
    <w:p>
      <w:pPr>
        <w:pStyle w:val="P6"/>
        <w:rPr>
          <w:rStyle w:val="C3"/>
          <w:rFonts w:ascii="Courier New" w:hAnsi="Courier New"/>
        </w:rPr>
      </w:pPr>
      <w:r>
        <w:rPr>
          <w:rStyle w:val="C3"/>
          <w:rFonts w:ascii="Courier New" w:hAnsi="Courier New"/>
        </w:rPr>
        <w:t xml:space="preserve">“Cuando el agente reuniere los requisitos exigidos para obtener su jubilación ordinaria, por edad avanzada o por invalidez; el Departamento Ejecutivo deberá intimar al mismo para que inicie los trámites pertinentes, extendiéndole los certificados de servicios y demás documentación necesaria a esos fines. A partir de ese momento el agente tendrá derecho a permanecer en el cargo hasta que se le acuerde el beneficio respectivo, y por un término no mayor a doce (12) meses, el que se podrá extender con la autorización del Departamento Ejecutivo, cuando la demora en el otorgamiento del beneficio no sea por responsabilidad del agente. Durante </w:t>
      </w:r>
    </w:p>
    <w:p>
      <w:pPr>
        <w:ind w:left="709"/>
        <w:jc w:val="right"/>
        <w:rPr>
          <w:rStyle w:val="C3"/>
          <w:rFonts w:ascii="Courier New" w:hAnsi="Courier New"/>
          <w:sz w:val="24"/>
        </w:rPr>
      </w:pPr>
      <w:r>
        <w:rPr>
          <w:rStyle w:val="C3"/>
          <w:rFonts w:ascii="Courier New" w:hAnsi="Courier New"/>
          <w:sz w:val="24"/>
        </w:rPr>
        <w:t>...///</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...///3.-</w:t>
      </w:r>
    </w:p>
    <w:p>
      <w:pPr>
        <w:ind w:left="709"/>
        <w:jc w:val="both"/>
        <w:rPr>
          <w:rStyle w:val="C3"/>
          <w:rFonts w:ascii="Courier New" w:hAnsi="Courier New"/>
          <w:sz w:val="24"/>
        </w:rPr>
      </w:pPr>
    </w:p>
    <w:p>
      <w:pPr>
        <w:ind w:left="709"/>
        <w:jc w:val="both"/>
        <w:rPr>
          <w:rStyle w:val="C3"/>
          <w:rFonts w:ascii="Courier New" w:hAnsi="Courier New"/>
          <w:sz w:val="24"/>
        </w:rPr>
      </w:pPr>
    </w:p>
    <w:p>
      <w:pPr>
        <w:ind w:hanging="709" w:left="709"/>
        <w:jc w:val="right"/>
        <w:rPr>
          <w:rStyle w:val="C3"/>
          <w:rFonts w:ascii="Courier New" w:hAnsi="Courier New"/>
          <w:sz w:val="24"/>
        </w:rPr>
      </w:pPr>
      <w:r>
        <w:rPr>
          <w:rStyle w:val="C3"/>
          <w:rFonts w:ascii="Courier New" w:hAnsi="Courier New"/>
          <w:sz w:val="24"/>
        </w:rPr>
        <w:t>ese tiempo se le concederán los permisos necesarios para la realización de los trámites previsionales, los que deberán ser acreditados ante el funcionario responsable del área de la cual dependa funcionalmente. Concedido el beneficio o vencido dicho plazo, la relación de empleado municipal quedará extinguida sin obligación de la comuna de pagar indemnización por antigüedad”.</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CUATRO DIAS DEL MES DE JULIO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2002-07-12T11:03:00Z</dcterms:created>
  <cp:lastModifiedBy>Ethan Puglia</cp:lastModifiedBy>
  <cp:lastPrinted>2002-07-12T11:01:00Z</cp:lastPrinted>
  <dcterms:modified xsi:type="dcterms:W3CDTF">2019-03-28T17:33:39Z</dcterms:modified>
  <cp:revision>17</cp:revision>
  <dc:title>ORDENANZA  Nº  5354</dc:title>
</cp:coreProperties>
</file>