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6EB03A2" Type="http://schemas.openxmlformats.org/officeDocument/2006/relationships/officeDocument" Target="/word/document.xml" /><Relationship Id="coreR56EB03A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5676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1260/01 iniciado por el Sr. Roque Luis Mayorga solicitando exención de Tasa por Servicios a la Propiedad; y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es veterano de guerra habiendo participado en la guerra de Malvinas;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 solicitado se encuadra en lo establecido en la Ordenanza Nº 4810;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accediendo a lo solicitado, despacho aprobado por unanimidad en Sesión de Fecha 25 de julio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EXIMIR</w:t>
      </w:r>
      <w:r>
        <w:rPr>
          <w:rStyle w:val="C3"/>
          <w:rFonts w:ascii="Courier New" w:hAnsi="Courier New"/>
          <w:sz w:val="24"/>
        </w:rPr>
        <w:t xml:space="preserve"> en una cien por cien ( 100%) del pago de Tasa por Servicios a la Propiedad al inmueble designación catastral 01-01-365-011-000, por el año 2002.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VEINTICINCO DIAS DEL MES DE JULIO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2002-07-31T22:33:00Z</dcterms:created>
  <cp:lastModifiedBy>Ethan Puglia</cp:lastModifiedBy>
  <cp:lastPrinted>2002-07-26T16:27:00Z</cp:lastPrinted>
  <dcterms:modified xsi:type="dcterms:W3CDTF">2019-03-28T17:33:39Z</dcterms:modified>
  <cp:revision>4</cp:revision>
  <dc:title>ORDENANZA  Nº  5354</dc:title>
</cp:coreProperties>
</file>