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31717" Type="http://schemas.openxmlformats.org/officeDocument/2006/relationships/officeDocument" Target="/word/document.xml" /><Relationship Id="coreR483171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5682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situación económica imperante donde muchos vecinos  al no contar con trabajo, inician pequeños emprendimientos comerciales;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contemplar estos casos y facilitar la actividad otorgando un plazo para que comiencen a tributar la Tasa correspondiente a Servicios de Inspección General e Higiene y de este modo puedan regularizar su situación;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el Concejo en Comisión emite despacho sugiriendo se sancione una Ordenanza que contemple estos casos, despacho aprobado por unanimidad en Sesión de Fecha 25 de julio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EXIMIR</w:t>
      </w:r>
      <w:r>
        <w:rPr>
          <w:rStyle w:val="C3"/>
          <w:rFonts w:ascii="Courier New" w:hAnsi="Courier New"/>
          <w:sz w:val="24"/>
        </w:rPr>
        <w:t xml:space="preserve"> del pago de Tasa por Servicios de Inspección General e Higiene, por el término de noventa (90) días desde su inscripción en el Municipio, a comercios que se inicien cuyo capital sea de PESOS DOS MIL UNO ($ 2.001) a PESOS NUEVE MIL ($ 9.000.-).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LA</w:t>
      </w:r>
      <w:r>
        <w:rPr>
          <w:rStyle w:val="C3"/>
          <w:rFonts w:ascii="Courier New" w:hAnsi="Courier New"/>
          <w:sz w:val="24"/>
        </w:rPr>
        <w:t xml:space="preserve"> presente Ordenanza se aplicará a los comercios que se inscriban voluntariamente o que hayan sido notificados una vez para regularizar su situación, quedando exentos del pago de la multa que pudiere corresponder en estos casos. </w:t>
      </w:r>
    </w:p>
    <w:p>
      <w:pPr>
        <w:ind w:hanging="709" w:left="709"/>
        <w:jc w:val="both"/>
        <w:rPr>
          <w:rStyle w:val="C3"/>
          <w:rFonts w:ascii="Courier New" w:hAnsi="Courier New"/>
          <w:b w:val="1"/>
          <w:sz w:val="24"/>
          <w:u w:val="single"/>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VEINTICINCO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2002-08-12T15:25:00Z</dcterms:created>
  <cp:lastModifiedBy>Ethan Puglia</cp:lastModifiedBy>
  <cp:lastPrinted>2002-08-02T15:24:00Z</cp:lastPrinted>
  <dcterms:modified xsi:type="dcterms:W3CDTF">2019-03-28T17:33:39Z</dcterms:modified>
  <cp:revision>9</cp:revision>
  <dc:title>ORDENANZA  Nº  5354</dc:title>
</cp:coreProperties>
</file>