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A5F85CE" Type="http://schemas.openxmlformats.org/officeDocument/2006/relationships/officeDocument" Target="/word/document.xml" /><Relationship Id="coreRA5F85C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5696</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35/I/02 iniciado por Planta Tres S.R.L. solicitando exención de Tasa por Servicios de Inspección General e Higiene por un plazo de cinco (5) años más a partir de octubre de 2001;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según informe de Dirección de Ingresos Públicos la empresa Planta Tres S.R.L. se encuentra registrada bajo el Legajo Nº 7372 en el régimen general con tributo mínimo de PESOS TREINTA ($ 30.-);</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mantiene una deuda a enero de 2002 de PESOS DOSCIENTOS SETENTA Y NUEVE CON SESENTA ($ 279,60.-), generada durante la tramitación del Expediente Nº 35/I/02;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la exención por aplicación de la Ley de Inversiones Mineras a la que este Municipio se encuentra adherida;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Ley de Inversiones Mineras en su Art. 8 dice que los establecimientos mineros gozan de estabilidad fiscal por treinta (30) años a partir de la fecha de la presentación de su estudio de factibilidad;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estabilidad económica significa que aquellas empresas que desarrollan actividad minera en el marco del presente régimen de inversiones mineras, no podrán ver afectadas en más las cargas tributarias totales como consecuencia de aumentos en las contribuciones impositivas y tasas, cualquiera sea su denominación en el ámbito nacional, provincial y municipal;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Ordenanza Nº 4029 de fecha 30 de septiembre de 1998, Planta Tres S.R.L. fue eximida por el término de cinco (5) años a partir de octubre de 1996;</w:t>
      </w:r>
    </w:p>
    <w:p>
      <w:pPr>
        <w:pStyle w:val="P6"/>
        <w:jc w:val="right"/>
        <w:rPr>
          <w:rStyle w:val="C3"/>
          <w:rFonts w:ascii="Courier New" w:hAnsi="Courier New"/>
        </w:rPr>
      </w:pPr>
      <w:r>
        <w:rPr>
          <w:rStyle w:val="C3"/>
          <w:rFonts w:ascii="Courier New" w:hAnsi="Courier New"/>
        </w:rPr>
        <w:t>...///</w:t>
      </w: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ind w:hanging="709"/>
        <w:jc w:val="left"/>
        <w:rPr>
          <w:rStyle w:val="C3"/>
          <w:rFonts w:ascii="Courier New" w:hAnsi="Courier New"/>
        </w:rPr>
      </w:pPr>
      <w:r>
        <w:rPr>
          <w:rStyle w:val="C3"/>
          <w:rFonts w:ascii="Courier New" w:hAnsi="Courier New"/>
        </w:rPr>
        <w:t>...///2.-</w:t>
      </w: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rPr>
          <w:rStyle w:val="C3"/>
          <w:rFonts w:ascii="Courier New" w:hAnsi="Courier New"/>
        </w:rPr>
      </w:pPr>
      <w:r>
        <w:rPr>
          <w:rStyle w:val="C3"/>
          <w:rFonts w:ascii="Courier New" w:hAnsi="Courier New"/>
        </w:rPr>
        <w:t>Que no mantener la exención, no significa ir en contra de la Ley de Inversiones Mineras, sino culminar con un período de excepción que beneficiaba a esta empresa por un período establecido;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función de lo expuesto y analizado el Expediente por Comisión de Hacienda la misma emite despacho no accediendo a la prórroga de la exención solicitada y facilitar el pago de la deuda generada durante la tramitación del expediente, despacho aprobado por unanimidad en Sesión de fecha 1º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a Planta Tres S.R.L. un plan de pagos acorde a sus posibilidades para abonar la deuda que la misma mantiene con el Municipio en concepto de Tasa por Servicios de Inspección General e Higiene – Legajo Nº 7372.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EN</w:t>
      </w:r>
      <w:r>
        <w:rPr>
          <w:rStyle w:val="C3"/>
          <w:rFonts w:ascii="Courier New" w:hAnsi="Courier New"/>
          <w:sz w:val="24"/>
        </w:rPr>
        <w:t xml:space="preserve"> caso de considerarlo conveniente, autorizar al Departamento Ejecutivo a realizar un canje con la empresa, por la deuda, a cambio de material que pueda ser de utilidad para el Municipio.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UN DIA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2002-08-07T11:20:00Z</dcterms:created>
  <cp:lastModifiedBy>Ethan Puglia</cp:lastModifiedBy>
  <cp:lastPrinted>2002-08-05T16:37:00Z</cp:lastPrinted>
  <dcterms:modified xsi:type="dcterms:W3CDTF">2019-03-28T17:33:40Z</dcterms:modified>
  <cp:revision>16</cp:revision>
  <dc:title>ORDENANZA  Nº  5354</dc:title>
</cp:coreProperties>
</file>