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B920D69" Type="http://schemas.openxmlformats.org/officeDocument/2006/relationships/officeDocument" Target="/word/document.xml" /><Relationship Id="coreR3B920D6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5700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El Artículo 3 de la Ordenanza Nº 5485 sancionada el 13 de diciembre de 2001, que dispone: “... los contribuyentes que se encontraren en situación de imposibilidad debidamente acreditada, de hacer efectivo el pago de la Tasa por Servicios a la Propiedad, podrán efectuar pago cancelatorio de cada cuota, mediante el abono de un monto mínimo de PESOS TRES ($ 3.-) y un máximo de PESOS SIETE ($ 7.-), el que se determinará previa evaluación de cada caso en particular, mediante Ordenanza especial”; y  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la mayoría de los vecinos que concurren al Municipio a solicitar eximición de tasas por razones de carencia, desocupación, etc. registran deuda de varios meses con el Estado Municipal;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esta deuda, cuando se justifica debidamente la imposibilidad de pago, es eximida sin crearse algún mecanismo que vaya creando una conciencia o conducta tributaria, tan necesaria para el normal desenvolvimiento de las actividades del Estado;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en la mayoría de los casos la eximición debe condicionarse a la previa adhesión o suscripción del llamado impuesto solidario o social, contemplado en la Ordenanza de referencia, de manera tal que por cada cuota que el vecino pague del impuesto solidario, automáticamente se lo exime de una de las cuotas adeudadas y por las cuales pidió ser eximido y así sucesivamente;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de esta manera la eximición corre para aquellos vecinos carenciados o con problemas económicos, pero que además demuestran voluntad de pago;</w:t>
      </w:r>
    </w:p>
    <w:p>
      <w:pPr>
        <w:pStyle w:val="P1"/>
        <w:ind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left="709"/>
        <w:jc w:val="right"/>
        <w:rPr>
          <w:rStyle w:val="C3"/>
          <w:sz w:val="24"/>
        </w:rPr>
      </w:pPr>
    </w:p>
    <w:p>
      <w:pPr>
        <w:pStyle w:val="P1"/>
        <w:ind w:left="709"/>
        <w:jc w:val="right"/>
        <w:rPr>
          <w:rStyle w:val="C3"/>
          <w:sz w:val="24"/>
        </w:rPr>
      </w:pPr>
    </w:p>
    <w:p>
      <w:pPr>
        <w:pStyle w:val="P1"/>
        <w:ind w:left="709"/>
        <w:jc w:val="right"/>
        <w:rPr>
          <w:rStyle w:val="C3"/>
          <w:sz w:val="24"/>
        </w:rPr>
      </w:pPr>
    </w:p>
    <w:p>
      <w:pPr>
        <w:pStyle w:val="P1"/>
        <w:ind w:left="709"/>
        <w:jc w:val="right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ind w:left="709"/>
        <w:jc w:val="right"/>
        <w:rPr>
          <w:rStyle w:val="C3"/>
          <w:sz w:val="24"/>
        </w:rPr>
      </w:pPr>
    </w:p>
    <w:p>
      <w:pPr>
        <w:pStyle w:val="P1"/>
        <w:ind w:left="709"/>
        <w:jc w:val="right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con esta modificación a la Ordenanza Nº 5485, se disminuye la situación de riesgo que padecen muchos vecinos, que temen que su vivienda única sea sometida a proceso judicial por el cobro de la deuda.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firstLine="709"/>
        <w:jc w:val="center"/>
        <w:rPr>
          <w:rStyle w:val="C3"/>
          <w:b w:val="1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AGREGASE</w:t>
      </w:r>
      <w:r>
        <w:rPr>
          <w:rStyle w:val="C3"/>
          <w:sz w:val="24"/>
        </w:rPr>
        <w:t xml:space="preserve"> al Artículo 3 de la Ordenanza Nº 5485, el siguiente párrafo: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“Los vecinos que adhieran o suscriban el pago mensual de la Tasa por Servicios a la Propiedad, de la manera dispuesta en el presente artículo, y que registrando deuda con el Municipio por el mismo concepto, hayan solicitado eximición de la misma, previo estudio socioeconómico y comprobada la imposibilidad del pago de la deuda, se les irá amortizando del saldo deudor, una (1) cuota, por cada una (1) cancelada o pagada en término del plan suscripto y contemplado en la presente Ordenanza.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El organismo o área municipal que otorgue este beneficio, debe instruir acabadamente al vecino beneficiario, que la eximición de lo adeudado sólo opera en la medida que abone regularmente el nuevo tributo acordado”.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UN DIA DEL MES DE AGOSTO DEL AÑO DOS MIL DOS.</w:t>
      </w:r>
    </w:p>
    <w:p>
      <w:pPr>
        <w:pStyle w:val="P1"/>
        <w:rPr>
          <w:rStyle w:val="C3"/>
        </w:rPr>
      </w:pPr>
    </w:p>
    <w:p>
      <w:pPr>
        <w:pStyle w:val="P1"/>
        <w:rPr>
          <w:rStyle w:val="C3"/>
        </w:rPr>
      </w:pPr>
    </w:p>
    <w:p>
      <w:pPr>
        <w:pStyle w:val="P1"/>
        <w:rPr>
          <w:rStyle w:val="C3"/>
        </w:rPr>
      </w:pPr>
    </w:p>
    <w:p>
      <w:pPr>
        <w:pStyle w:val="P1"/>
        <w:rPr>
          <w:rStyle w:val="C3"/>
        </w:rPr>
      </w:pP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2002-08-08T13:01:00Z</dcterms:created>
  <cp:lastModifiedBy>Ethan Puglia</cp:lastModifiedBy>
  <cp:lastPrinted>2002-08-08T12:24:00Z</cp:lastPrinted>
  <dcterms:modified xsi:type="dcterms:W3CDTF">2019-03-28T17:33:40Z</dcterms:modified>
  <cp:revision>11</cp:revision>
  <dc:title>1¾   «        Å         </dc:title>
</cp:coreProperties>
</file>