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DCCE26" Type="http://schemas.openxmlformats.org/officeDocument/2006/relationships/officeDocument" Target="/word/document.xml" /><Relationship Id="coreR57DCCE2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5708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1250/01 iniciado por la Sra. Rosa Inés Vega solicitando exención de Tasa por Servicios de Administración y Mantenimiento de los Cementerios;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surge que la solicitante no cuenta con ingresos suficientes para afrontar dicho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accediendo a lo solicitado, despacho aprobado por unanimidad en Sesión de Fecha 8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sz w:val="24"/>
        </w:rPr>
        <w:t xml:space="preserve"> en un cien por cien (100%) del pago de lo adeudado y de las cuotas del presente año de Tasa por Servicios de Administración y Mantenimiento de los Cementerios, identificación Nº 8327.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2002-08-17T15:00:00Z</dcterms:created>
  <cp:lastModifiedBy>Ethan Puglia</cp:lastModifiedBy>
  <cp:lastPrinted>2002-07-26T16:27:00Z</cp:lastPrinted>
  <dcterms:modified xsi:type="dcterms:W3CDTF">2019-03-28T17:33:40Z</dcterms:modified>
  <cp:revision>6</cp:revision>
  <dc:title>ORDENANZA  Nº  5354</dc:title>
</cp:coreProperties>
</file>