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DB4831" Type="http://schemas.openxmlformats.org/officeDocument/2006/relationships/officeDocument" Target="/word/document.xml" /><Relationship Id="coreR6EDB483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5725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336/02 iniciado por la Sra. Mónica Díaz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fuera eximida años anteriores por Resolución de Dirección de Ingresos Públicos;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  <w:color w:val="FF0000"/>
        </w:rPr>
      </w:pPr>
      <w:r>
        <w:rPr>
          <w:rStyle w:val="C3"/>
          <w:rFonts w:ascii="Courier New" w:hAnsi="Courier New"/>
        </w:rPr>
        <w:t xml:space="preserve">Que el estudio socioeconómico informa que se trata de una familia de escasos </w:t>
      </w:r>
      <w:r>
        <w:rPr>
          <w:rStyle w:val="C3"/>
          <w:rFonts w:ascii="Courier New" w:hAnsi="Courier New"/>
          <w:color w:val="000000"/>
        </w:rPr>
        <w:t>recursos;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15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 y hasta el 31 de diciembre de 2003, el monto de PESOS TRES ($ 3.-), al inmueble designación catastral 3-01-321-012-000,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 anterior en forma sucesiva y correlativa, conforme a la modificación introducida en la Ordenanza Nº 5485 por la Ordenanza Nº 5700.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2002-08-27T10:49:00Z</dcterms:created>
  <cp:lastModifiedBy>Ethan Puglia</cp:lastModifiedBy>
  <cp:lastPrinted>2002-08-05T16:37:00Z</cp:lastPrinted>
  <dcterms:modified xsi:type="dcterms:W3CDTF">2019-03-28T17:33:40Z</dcterms:modified>
  <cp:revision>8</cp:revision>
  <dc:title>ORDENANZA  Nº  5354</dc:title>
</cp:coreProperties>
</file>