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9BAF2D" Type="http://schemas.openxmlformats.org/officeDocument/2006/relationships/officeDocument" Target="/word/document.xml" /><Relationship Id="coreR749BAF2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5757</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03/02 iniciado por la Sra. María Rosa Juárez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por Resolución Nº 119/99 de Dirección de Ingresos Públicos fue eximida de su deuda en un cincuenta por ciento (50%);</w:t>
      </w:r>
    </w:p>
    <w:p>
      <w:pPr>
        <w:rPr>
          <w:rStyle w:val="C3"/>
        </w:rPr>
      </w:pPr>
    </w:p>
    <w:p>
      <w:pPr>
        <w:rPr>
          <w:rStyle w:val="C3"/>
        </w:rPr>
      </w:pPr>
    </w:p>
    <w:p>
      <w:pPr>
        <w:pStyle w:val="P6"/>
        <w:rPr>
          <w:rStyle w:val="C3"/>
          <w:rFonts w:ascii="Courier New" w:hAnsi="Courier New"/>
          <w:color w:val="FF0000"/>
        </w:rPr>
      </w:pPr>
      <w:r>
        <w:rPr>
          <w:rStyle w:val="C3"/>
          <w:rFonts w:ascii="Courier New" w:hAnsi="Courier New"/>
        </w:rPr>
        <w:t>Que del estudio socioeconómico realizado surge que la vivienda de la solicitante es de condiciones precarias de habitabilidad</w:t>
      </w:r>
      <w:r>
        <w:rPr>
          <w:rStyle w:val="C3"/>
          <w:rFonts w:ascii="Courier New" w:hAnsi="Courier New"/>
          <w:color w:val="000000"/>
        </w:rPr>
        <w:t>;</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sugiriendo otorgar los beneficios de la Ordenanza Nº 5485, despacho aprobado por unanimidad en Sesión de fecha 29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SEIS ($ 6.-), al inmueble designación catastral 01-01-040-027-000,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cada cuota abonada en término conforme a lo establecido en el Art. 1, se le eximirá de una cuota de la deuda.</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rPr>
        <w:t xml:space="preserve"> </w:t>
      </w:r>
      <w:r>
        <w:rPr>
          <w:rStyle w:val="C3"/>
          <w:rFonts w:ascii="Courier New" w:hAnsi="Courier New"/>
          <w:b w:val="1"/>
          <w:sz w:val="24"/>
        </w:rPr>
        <w:t xml:space="preserve">EN </w:t>
      </w:r>
      <w:r>
        <w:rPr>
          <w:rStyle w:val="C3"/>
          <w:rFonts w:ascii="Courier New" w:hAnsi="Courier New"/>
          <w:sz w:val="24"/>
        </w:rPr>
        <w:t>caso de transferencia del inmueble designación catastral 01-01-040-027-000 el beneficio otorgado en la presente Ordenanza quedará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2002-09-05T13:01:00Z</dcterms:created>
  <cp:lastModifiedBy>Ethan Puglia</cp:lastModifiedBy>
  <cp:lastPrinted>2002-08-27T12:15:00Z</cp:lastPrinted>
  <dcterms:modified xsi:type="dcterms:W3CDTF">2019-03-28T17:33:41Z</dcterms:modified>
  <cp:revision>7</cp:revision>
  <dc:title>ORDENANZA  Nº  5354</dc:title>
</cp:coreProperties>
</file>