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CD259E" Type="http://schemas.openxmlformats.org/officeDocument/2006/relationships/officeDocument" Target="/word/document.xml" /><Relationship Id="coreR1CCD259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5762</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141/02 iniciado por la Sra. Yolanda Quintana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mediante Resolución Nº 175/01 de Dirección de Ingresos Públicos, se le eximió del cincuenta por ciento (50%) de las tasas del año 2001;</w:t>
      </w:r>
    </w:p>
    <w:p>
      <w:pPr>
        <w:rPr>
          <w:rStyle w:val="C3"/>
        </w:rPr>
      </w:pPr>
    </w:p>
    <w:p>
      <w:pPr>
        <w:pStyle w:val="P6"/>
        <w:rPr>
          <w:rStyle w:val="C3"/>
          <w:rFonts w:ascii="Courier New" w:hAnsi="Courier New"/>
        </w:rPr>
      </w:pPr>
      <w:r>
        <w:rPr>
          <w:rStyle w:val="C3"/>
          <w:rFonts w:ascii="Courier New" w:hAnsi="Courier New"/>
        </w:rPr>
        <w:t>Que evaluado el contenido del Expediente por Comisión de Hacienda, la misma emite despacho otorgando los beneficios de la Ordenanza Nº 5485, despacho aprobado por unanimidad en Sesión de fecha 29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TRES ($ 3.-), al inmueble designación catastral 03-01-373-027-000,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EN </w:t>
      </w:r>
      <w:r>
        <w:rPr>
          <w:rStyle w:val="C3"/>
          <w:rFonts w:ascii="Courier New" w:hAnsi="Courier New"/>
          <w:sz w:val="24"/>
        </w:rPr>
        <w:t>caso de transferencia del inmueble designación catastral 03-01-373-027-000 el beneficio otorgado en la presente Ordenanza quedará sin efecto en forma automática.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2002-09-09T12:38:00Z</dcterms:created>
  <cp:lastModifiedBy>Ethan Puglia</cp:lastModifiedBy>
  <cp:lastPrinted>2002-08-27T12:15:00Z</cp:lastPrinted>
  <dcterms:modified xsi:type="dcterms:W3CDTF">2019-03-28T17:33:41Z</dcterms:modified>
  <cp:revision>7</cp:revision>
  <dc:title>ORDENANZA  Nº  5354</dc:title>
</cp:coreProperties>
</file>