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A52E54" Type="http://schemas.openxmlformats.org/officeDocument/2006/relationships/officeDocument" Target="/word/document.xml" /><Relationship Id="coreR74A52E5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5767</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136/I/02 iniciado con nota de la Sra. Alcira Gómez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la solicitante vive con su esposo quien padece problemas de salud y es jubilado;</w:t>
      </w:r>
    </w:p>
    <w:p>
      <w:pPr>
        <w:rPr>
          <w:rStyle w:val="C3"/>
        </w:rPr>
      </w:pPr>
    </w:p>
    <w:p>
      <w:pPr>
        <w:pStyle w:val="P6"/>
        <w:rPr>
          <w:rStyle w:val="C3"/>
          <w:rFonts w:ascii="Courier New" w:hAnsi="Courier New"/>
        </w:rPr>
      </w:pPr>
      <w:r>
        <w:rPr>
          <w:rStyle w:val="C3"/>
          <w:rFonts w:ascii="Courier New" w:hAnsi="Courier New"/>
        </w:rPr>
        <w:t>Que evaluado el contenido del Expediente por Comisión de Hacienda, la misma emite despacho aconsejando se otorguen los beneficios de la Ordenanza Nº 5485,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TRES ($ 3.-), al inmueble designación catastral 1-01-035-041-000,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cada cuota abonada en término conforme a lo establecido en el Art. 1, se le eximirá de una cuota de la deuda.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1-01-035-041-000 el beneficio otorgado en la presente Ordenanza quedará sin efecto en forma automática.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2002-09-10T13:50:00Z</dcterms:created>
  <cp:lastModifiedBy>Ethan Puglia</cp:lastModifiedBy>
  <cp:lastPrinted>2002-08-27T12:15:00Z</cp:lastPrinted>
  <dcterms:modified xsi:type="dcterms:W3CDTF">2019-03-28T17:33:41Z</dcterms:modified>
  <cp:revision>9</cp:revision>
  <dc:title>ORDENANZA  Nº  5354</dc:title>
</cp:coreProperties>
</file>