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05399F3" Type="http://schemas.openxmlformats.org/officeDocument/2006/relationships/officeDocument" Target="/word/document.xml" /><Relationship Id="coreR605399F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5768</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Expediente Nº 93/I/02 iniciado con nota de la Sra. Alba Maldonado solicitando exención de pago de multa;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existe Resolución Nº 1348 del Tribunal Administrativo de Faltas imponiendo multa por infracción a lo dispuesto en las Ordenanzas Nº 1108 y 3335;</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estudio socioeconómico informa que la solicitante es jubilada con ingresos mínimos;</w:t>
      </w:r>
    </w:p>
    <w:p>
      <w:pPr>
        <w:rPr>
          <w:rStyle w:val="C3"/>
        </w:rPr>
      </w:pPr>
    </w:p>
    <w:p>
      <w:pPr>
        <w:pStyle w:val="P6"/>
        <w:rPr>
          <w:rStyle w:val="C3"/>
          <w:rFonts w:ascii="Courier New" w:hAnsi="Courier New"/>
        </w:rPr>
      </w:pPr>
      <w:r>
        <w:rPr>
          <w:rStyle w:val="C3"/>
          <w:rFonts w:ascii="Courier New" w:hAnsi="Courier New"/>
        </w:rPr>
        <w:t>Que evaluado el contenido del Expediente por Comisión de Hacienda, la misma emite despacho aconsejando se otorgue plan de pagos de veinte (20) cuotas para abonar la multa, despacho aprobado por unanimidad en Sesión de fecha 29 de agosto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conceder un plan de pagos de veinte (20) cuotas a la Sra. Alba Maldonado para abonar multa impuesta por Resolución Nº 1348/01.</w:t>
      </w:r>
    </w:p>
    <w:p>
      <w:pPr>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VEINTINUEVE DIAS DEL MES DE AGOSTO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2002-09-10T14:09:00Z</dcterms:created>
  <cp:lastModifiedBy>Ethan Puglia</cp:lastModifiedBy>
  <cp:lastPrinted>2002-09-10T14:05:00Z</cp:lastPrinted>
  <dcterms:modified xsi:type="dcterms:W3CDTF">2019-03-28T17:33:41Z</dcterms:modified>
  <cp:revision>9</cp:revision>
  <dc:title>ORDENANZA  Nº  5354</dc:title>
</cp:coreProperties>
</file>