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CC37AF5" Type="http://schemas.openxmlformats.org/officeDocument/2006/relationships/officeDocument" Target="/word/document.xml" /><Relationship Id="coreR7CC37AF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5781</w:t>
      </w:r>
    </w:p>
    <w:p>
      <w:pPr>
        <w:pStyle w:val="P1"/>
        <w:jc w:val="both"/>
        <w:rPr>
          <w:rStyle w:val="C3"/>
          <w:sz w:val="24"/>
        </w:rPr>
      </w:pPr>
    </w:p>
    <w:p>
      <w:pPr>
        <w:pStyle w:val="P1"/>
        <w:ind w:hanging="709" w:left="709"/>
        <w:jc w:val="center"/>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458/95 iniciado por la Sra. Sandra Carminatti y por el Sr. Christian Gogoy solicitando la donación del lote designación catastral 3-1-255-3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solicitan en donación el lote de terreno que según Catastro fue donado a la Municipalidad de Alta Gracia por Rosario Cafferata de Aghina y aceptado mediante Ordenanza Nº 3369;</w:t>
      </w:r>
    </w:p>
    <w:p>
      <w:pPr>
        <w:pStyle w:val="P1"/>
        <w:ind w:left="709"/>
        <w:jc w:val="both"/>
        <w:rPr>
          <w:rStyle w:val="C3"/>
          <w:sz w:val="24"/>
        </w:rPr>
      </w:pPr>
    </w:p>
    <w:p>
      <w:pPr>
        <w:pStyle w:val="P1"/>
        <w:ind w:left="709"/>
        <w:jc w:val="both"/>
        <w:rPr>
          <w:rStyle w:val="C3"/>
          <w:sz w:val="24"/>
        </w:rPr>
      </w:pPr>
      <w:r>
        <w:rPr>
          <w:rStyle w:val="C3"/>
          <w:sz w:val="24"/>
        </w:rPr>
        <w:t>Que los solicitantes reúnen los requisitos exigidos por Ordenanza para ser beneficiarios de un lote;</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5 de septiembre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Sandra E. Carminatti, D.N.I. Nº 23.110.004 y a Christian Godoy, D.N.I. Nº 24.196.148, el lote designación catastral 3-1-255-3.</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OS</w:t>
      </w:r>
      <w:r>
        <w:rPr>
          <w:rStyle w:val="C3"/>
          <w:sz w:val="24"/>
        </w:rPr>
        <w:t xml:space="preserve"> beneficiarios deberán edificar en un plazo máximo de dieciocho (18) meses a partir de la promulgación de la presente Ordenanza, según el correspondiente plano aprobado por las oficinas técnicas correspondientes.</w:t>
      </w:r>
    </w:p>
    <w:p>
      <w:pPr>
        <w:pStyle w:val="P1"/>
        <w:jc w:val="both"/>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los beneficiarios abonar en su totalidad las cargas tributarias que gravan el inmueble, las contribuciones por mejoras y los gastos de transferencia de dominio. En el supuesto de incumplimiento de esta obligación, la Municipalidad no se hará  cargo en ningún caso de las erogaciones que deben pagar los beneficiarios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los solicitantes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CINCO DIAS DEL MES DE SEPTIEMBRE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2002-09-16T12:59:00Z</dcterms:created>
  <cp:lastModifiedBy>Ethan Puglia</cp:lastModifiedBy>
  <cp:lastPrinted>2002-09-16T12:51:00Z</cp:lastPrinted>
  <dcterms:modified xsi:type="dcterms:W3CDTF">2019-03-28T17:33:42Z</dcterms:modified>
  <cp:revision>6</cp:revision>
  <dc:title>1¾   «        M</dc:title>
</cp:coreProperties>
</file>