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5EC2A5A" Type="http://schemas.openxmlformats.org/officeDocument/2006/relationships/officeDocument" Target="/word/document.xml" /><Relationship Id="coreR45EC2A5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5797</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1186/00 iniciado por la Sra. Mirta Glady Argüello solicitando exención de Tasa por Servicios a la Propiedad;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r>
        <w:rPr>
          <w:rStyle w:val="C3"/>
          <w:rFonts w:ascii="Courier New" w:hAnsi="Courier New"/>
        </w:rPr>
        <w:t>Que la solicitante ha sido eximida años anteriores por Resolución de Dirección de Ingresos Públicos;</w:t>
      </w:r>
    </w:p>
    <w:p>
      <w:pPr>
        <w:rPr>
          <w:rStyle w:val="C3"/>
        </w:rPr>
      </w:pPr>
    </w:p>
    <w:p>
      <w:pPr>
        <w:pStyle w:val="P6"/>
        <w:rPr>
          <w:rStyle w:val="C3"/>
          <w:rFonts w:ascii="Courier New" w:hAnsi="Courier New"/>
        </w:rPr>
      </w:pPr>
      <w:r>
        <w:rPr>
          <w:rStyle w:val="C3"/>
          <w:rFonts w:ascii="Courier New" w:hAnsi="Courier New"/>
        </w:rPr>
        <w:t>Que según estudio socioeconómico realizado la solicitante posee ingresos precarios;</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los beneficios de la Ordenanza Nº 5485, despacho aprobado por unanimidad en Sesión de fecha 12 de septiembre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al inmueble designación catastral 04-01-097-053-000,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04-01-097-053-000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DOCE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2002-09-17T14:56:00Z</dcterms:created>
  <cp:lastModifiedBy>Ethan Puglia</cp:lastModifiedBy>
  <cp:lastPrinted>2002-08-27T12:15:00Z</cp:lastPrinted>
  <dcterms:modified xsi:type="dcterms:W3CDTF">2019-03-28T17:33:42Z</dcterms:modified>
  <cp:revision>9</cp:revision>
  <dc:title>ORDENANZA  Nº  5354</dc:title>
</cp:coreProperties>
</file>