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2BC84E0" Type="http://schemas.openxmlformats.org/officeDocument/2006/relationships/officeDocument" Target="/word/document.xml" /><Relationship Id="coreR72BC84E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5799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1199/01 iniciado por la Sra. Mercedes del Carmen Sánchez solicitando exención de Tasa por Servicios a la Propiedad y Tasa por Servicios de Administración y Mantenimiento de los Cementerios;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años anteriores ha sido eximida por Resolución de Dirección de Ingresos Públicos;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es una persona mayor, que no posee ingresos;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eximir en forma parcial la Tasa por Servicios de Administración y Mantenimiento de los Cementerios y otorgar los beneficios de la Ordenanza Nº 5485 respecto de Tasa por Servicios a la Propiedad, despacho aprobado por unanimidad en Sesión de fecha 12 de septiembre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EXIMIR </w:t>
      </w:r>
      <w:r>
        <w:rPr>
          <w:rStyle w:val="C3"/>
          <w:rFonts w:ascii="Courier New" w:hAnsi="Courier New"/>
          <w:sz w:val="24"/>
        </w:rPr>
        <w:t>en un sesenta por ciento (60%) las cuotas correspondientes al año 2002 de Tasa por Servicios de Administración y Mantenimiento de los Cementerios – Identificación Nº 7606.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 que en el mismo concepto mantiene con el Municipio.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la suma de PESOS TRES ($3.-), desde la sanción de la presente y hasta diciembre de 2002 inclusive, al inmueble designación catastral 04-01-093-002-000.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POR </w:t>
      </w:r>
      <w:r>
        <w:rPr>
          <w:rStyle w:val="C3"/>
          <w:rFonts w:ascii="Courier New" w:hAnsi="Courier New"/>
          <w:sz w:val="24"/>
        </w:rPr>
        <w:t>cada cuota abonada en término conforme a lo establecido en el Art. 3, se le eximirá de una cuota de la deuda que en el mismo concepto mantiene con el Municipio.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04-01-093-002-000 el beneficio otorgado en la presente Ordenanza quedará sin efecto en forma automática.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6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DIAS DEL MES DE SEPTIEMBRE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2002-09-17T15:34:00Z</dcterms:created>
  <cp:lastModifiedBy>Ethan Puglia</cp:lastModifiedBy>
  <cp:lastPrinted>2002-09-19T10:48:00Z</cp:lastPrinted>
  <dcterms:modified xsi:type="dcterms:W3CDTF">2019-03-28T17:33:42Z</dcterms:modified>
  <cp:revision>13</cp:revision>
  <dc:title>ORDENANZA  Nº  5354</dc:title>
</cp:coreProperties>
</file>