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006943" Type="http://schemas.openxmlformats.org/officeDocument/2006/relationships/officeDocument" Target="/word/document.xml" /><Relationship Id="coreR180069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5505 y su modificatoria Ordenanza Nº 5686;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5505 establece un plan especial de cancelación de deudas;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5686 prorroga el plazo de vigencia del plan especial de cancelación de deudas que establece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la necesidad de incrementar la recaudación en Pesos, resulta necesario otorgar un beneficio especial que promueva la misma.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Art. 6 de la Ordenanza Nº 5505, el inciso 1/1: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</w:rPr>
        <w:t>“Para el pago de contado realizado en Pesos, con una reducción del cien por cien (100%) de los intereses resarcitorios previstos por el Art. 30 de la Ordenanza Nº 3873”.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2002-09-23T13:00:00Z</dcterms:created>
  <cp:lastModifiedBy>Ethan Puglia</cp:lastModifiedBy>
  <cp:lastPrinted>2002-09-20T15:49:00Z</cp:lastPrinted>
  <dcterms:modified xsi:type="dcterms:W3CDTF">2019-03-28T17:33:42Z</dcterms:modified>
  <cp:revision>8</cp:revision>
  <dc:title>ORDENANZA  Nº  5354</dc:title>
</cp:coreProperties>
</file>