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A0A0C" Type="http://schemas.openxmlformats.org/officeDocument/2006/relationships/officeDocument" Target="/word/document.xml" /><Relationship Id="coreR6CA0A0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1107/02 iniciado por la Sra. Gennoveva Eloísa Carri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 las tasas correspondientes al inmueble de su propiedad designación catastral 03-01-103-024-000 y de la propiedad de su hijo, Jaime Ricardo Carri, designación catastral 03-01-117-007-000;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se trata de una familia con marcados riesgos económicos, con escasos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03-01-103-024-000 ubicado en calle Bahía Blanca 686, se encuentra inhabitable por problemas de mallines;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Jaime Carri alberga a todo el grupo familiar en su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a uno de los inmuebles y concediendo los beneficios de la Ordenanza Nº 5485 para el otro inmueble,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 (100%) la deuda y las cuotas correspondientes al año 2002, de Tasa por Servicios a la Propiedad del inmueble designación catastral 03-01-103-024-000.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SIETE ($ 7.-), al inmueble designación catastral 03-01-117-007-000,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un plan de pagos acorde a las posibilidades del contribuyente y a valores históricos, de la deuda que mantiene con el Municipio el inmueble designación catastral 03-01-117-007-000.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2002-10-17T10:17:00Z</dcterms:created>
  <cp:lastModifiedBy>Ethan Puglia</cp:lastModifiedBy>
  <cp:lastPrinted>2002-09-26T16:19:00Z</cp:lastPrinted>
  <dcterms:modified xsi:type="dcterms:W3CDTF">2019-03-28T17:33:43Z</dcterms:modified>
  <cp:revision>8</cp:revision>
  <dc:title>ORDENANZA  Nº  5354</dc:title>
</cp:coreProperties>
</file>