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B0C5BA" Type="http://schemas.openxmlformats.org/officeDocument/2006/relationships/officeDocument" Target="/word/document.xml" /><Relationship Id="coreR63B0C5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916/02 iniciado por la Sra. Lucía Alba Gil solicitando exención de Tasa por Servicios de Administración y Mantenimiento de los Cementerios; y</w:t>
      </w: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solicitante es empleada Municipal y convive junto a su hijo de 20 años de edad, desocupado;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 que en tal concepto mantiene con el Municipio,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contribuyente un plan de pagos de la deuda a valores históricos que al 31 de octubre de 2002, mantiene con el Municipio en concepto de Tasa por Servicios de Administración y Mantenimiento de los Cementerios – Identificación Nº 6107, en treinta y seis (36) cuotas.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abogado procurador que lleva el juicio iniciado por el Municipio para el cobro de la deuda, para dejar sin efecto lo actuado, conforme a lo establecido en la cláusula 13 del convenio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2002-10-29T14:01:00Z</dcterms:created>
  <cp:lastModifiedBy>Ethan Puglia</cp:lastModifiedBy>
  <cp:lastPrinted>2002-10-21T15:23:00Z</cp:lastPrinted>
  <dcterms:modified xsi:type="dcterms:W3CDTF">2019-03-28T17:33:44Z</dcterms:modified>
  <cp:revision>9</cp:revision>
  <dc:title>ORDENANZA  Nº  5354</dc:title>
</cp:coreProperties>
</file>