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5E7A18F" Type="http://schemas.openxmlformats.org/officeDocument/2006/relationships/officeDocument" Target="/word/document.xml" /><Relationship Id="coreR35E7A18F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5951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929/99 iniciado por la Sra. Elva Rosa Dominguez solicitando exención de Tasa por Servicios a la Propiedad;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ind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Que la solicitante ha sido eximida en años anteriores;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el estudio socioeconómico realizado informa que se trata de una vivienda humilde que cuenta con las condiciones necesarias para desarrollar una vida digna;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solicitante percibe una pensión mínima y convive con su nieta y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contenido del Expediente por Comisión de Hacienda, la misma emite despacho accediendo a otorgar los beneficios de la Ordenanza Nº 5485, despacho aprobado por unanimidad en Sesión de fecha 7 de noviembre de 2002.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FIJAR </w:t>
      </w:r>
      <w:r>
        <w:rPr>
          <w:rStyle w:val="C3"/>
          <w:rFonts w:ascii="Courier New" w:hAnsi="Courier New"/>
          <w:sz w:val="24"/>
        </w:rPr>
        <w:t>como cuota mensual a abonar en concepto de Tasa por Servicios a la Propiedad por mes por el corriente año, la suma de PESOS CINCO ($ 5.-), al inmueble designación catastral 03-01-238-004-000, conforme a lo establecido en la Ordenanza Nº 5485.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POR </w:t>
      </w:r>
      <w:r>
        <w:rPr>
          <w:rStyle w:val="C3"/>
          <w:rFonts w:ascii="Courier New" w:hAnsi="Courier New"/>
          <w:sz w:val="24"/>
        </w:rPr>
        <w:t>cada cuota abonada en término conforme a lo establecido en el Art. 1, se le eximirá de una cuota de la deuda.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EN </w:t>
      </w:r>
      <w:r>
        <w:rPr>
          <w:rStyle w:val="C3"/>
          <w:rFonts w:ascii="Courier New" w:hAnsi="Courier New"/>
          <w:sz w:val="24"/>
        </w:rPr>
        <w:t>caso de transferencia del inmueble designación catastral 03-01-238-004-000 el beneficio otorgado en la presente Ordenanza quedará sin efecto en forma automática.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4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SIETE DIAS DEL MES DE NOVIEMBRE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2002-11-12T12:10:00Z</dcterms:created>
  <cp:lastModifiedBy>Ethan Puglia</cp:lastModifiedBy>
  <cp:lastPrinted>2002-10-28T12:49:00Z</cp:lastPrinted>
  <dcterms:modified xsi:type="dcterms:W3CDTF">2019-03-28T17:33:45Z</dcterms:modified>
  <cp:revision>7</cp:revision>
  <dc:title>ORDENANZA  Nº  5354</dc:title>
</cp:coreProperties>
</file>