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37B3DC" Type="http://schemas.openxmlformats.org/officeDocument/2006/relationships/officeDocument" Target="/word/document.xml" /><Relationship Id="coreR4737B3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596</w:t>
      </w:r>
      <w:r>
        <w:rPr>
          <w:rStyle w:val="C3"/>
          <w:b w:val="1"/>
          <w:sz w:val="24"/>
          <w:u w:val="single"/>
        </w:rPr>
        <w:t>4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632/I/01 iniciado con nota del Sr. Oscar Fedelli solicitando exención de Tasa por Servicios de Administración y Mantenimiento de los Cementerios; y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del estudio socioeconómico surge que el solicitante se encuentra desocupado, convive con su esposa y recibe apoyatura económica por parte de sus familiares ya que no percibe ingresos;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Expediente por la Comisión de Hacienda, la misma emite despacho accediendo a lo solicitado, despacho aprobado por unanimidad en Sesión de fecha 14 de noviembre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la deuda correspondiente a los períodos 2000 y 2001 de Tasa por Servicios de Administración y Mantenimiento de los Cementerios, Identificación Nº 8047, debiendo abonar las cuotas actuales conforme al monto que corresponde según Ordenanza Tarifaria.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CATORCE DIAS DEL MES DE NOVIEMBRE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2002-11-18T14:07:00Z</dcterms:created>
  <cp:lastModifiedBy>Ethan Puglia</cp:lastModifiedBy>
  <cp:lastPrinted>2002-09-16T12:10:00Z</cp:lastPrinted>
  <dcterms:modified xsi:type="dcterms:W3CDTF">2019-03-28T17:33:45Z</dcterms:modified>
  <cp:revision>6</cp:revision>
  <dc:title>1¾   «        M</dc:title>
</cp:coreProperties>
</file>