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8190FD" Type="http://schemas.openxmlformats.org/officeDocument/2006/relationships/officeDocument" Target="/word/document.xml" /><Relationship Id="coreR228190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438/I/00 iniciado con nota de la Sra. Margarita Gerónima Dominguez solicitando exención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se desprende que la solicitante atraviesa una situación límite;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percibe una pensión mínima teniendo a su cargo cuatro (4) hijos menores;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hay períodos de la deuda de Tasa por Servicios a la Propiedad que se encuentran en juicio, habiendo renunciado el Procurador, Dr. Ratti, a sus honorarios, gesto que debe ser destacado;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21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correspondientes al año 2002 de Tasa por Servicios a la Propiedad al inmueble designación catastral 03-01-034-009-000.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correspondientes al año 2002 de Tasa por Servicios de Administración y Mantenimiento de los Cementerios – Identificaciones Nº 4884 y 5280.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 por ciento (50%) las cuotas que correspondan abonar de Tasa por Servicios a la Propiedad para el año 2003, al inmueble designación catastral 03-01-034-009-000.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cincuenta por ciento (50%) las cuotas que correspondan abonar de Tasa por Servicios de Administración y Mantenimiento de los Cementerios – Identificaciones 4884 y 5280.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INSTAR </w:t>
      </w:r>
      <w:r>
        <w:rPr>
          <w:rStyle w:val="C3"/>
          <w:rFonts w:ascii="Courier New" w:hAnsi="Courier New"/>
          <w:sz w:val="24"/>
        </w:rPr>
        <w:t>al Departamento Ejecutivo para que por medio del área correspondiente se intime a la contribuyente a regularizar el estado de construcción del inmueble.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2002-11-25T13:53:00Z</dcterms:created>
  <cp:lastModifiedBy>Ethan Puglia</cp:lastModifiedBy>
  <cp:lastPrinted>2002-11-25T13:45:00Z</cp:lastPrinted>
  <dcterms:modified xsi:type="dcterms:W3CDTF">2019-03-28T17:33:46Z</dcterms:modified>
  <cp:revision>11</cp:revision>
  <dc:title>ORDENANZA  Nº  5354</dc:title>
</cp:coreProperties>
</file>