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docProps/core.xml" ContentType="application/vnd.openxmlformats-package.core-properties+xml"/>
  <Override PartName="/word/theme/theme1.xml" ContentType="application/vnd.openxmlformats-officedocument.theme+xml"/>
</Types>
</file>

<file path=_rels/.rels>&#65279;<?xml version="1.0" encoding="utf-8"?><Relationships xmlns="http://schemas.openxmlformats.org/package/2006/relationships"><Relationship Id="RD10F9ED" Type="http://schemas.openxmlformats.org/officeDocument/2006/relationships/officeDocument" Target="/word/document.xml" /><Relationship Id="coreRD10F9ED" Type="http://schemas.openxmlformats.org/package/2006/relationships/metadata/core-properties" Target="/docProps/core.xml" /></Relationships>
</file>

<file path=word/document.xml><?xml version="1.0" encoding="utf-8"?>
<w:document xmlns:w="http://schemas.openxmlformats.org/wordprocessingml/2006/main" xmlns:wps="http://schemas.microsoft.com/office/word/2010/wordprocessingShape" xmlns:mc="http://schemas.openxmlformats.org/markup-compatibility/2006" xmlns:w10="urn:schemas-microsoft-com:office:word" xmlns:v="urn:schemas-microsoft-com:vml" xmlns:wp14="http://schemas.microsoft.com/office/word/2010/wordprocessingDrawing" mc:Ignorable="wp14">
  <w:body>
    <w:p>
      <w:pPr>
        <w:pStyle w:val="P4"/>
        <w:rPr>
          <w:rStyle w:val="C3"/>
          <w:rFonts w:ascii="Courier New" w:hAnsi="Courier New"/>
          <w:color w:val="000000"/>
        </w:rPr>
      </w:pPr>
      <w:r>
        <w:rPr>
          <w:rStyle w:val="C3"/>
          <w:rFonts w:ascii="Courier New" w:hAnsi="Courier New"/>
        </w:rPr>
        <w:t xml:space="preserve">ORDENANZA  Nº  5982</w:t>
      </w:r>
    </w:p>
    <w:p>
      <w:pPr>
        <w:jc w:val="center"/>
        <w:rPr>
          <w:rStyle w:val="C3"/>
          <w:rFonts w:ascii="Courier New" w:hAnsi="Courier New"/>
          <w:sz w:val="24"/>
        </w:rPr>
      </w:pPr>
    </w:p>
    <w:p>
      <w:pPr>
        <w:pStyle w:val="P5"/>
        <w:rPr>
          <w:rStyle w:val="C3"/>
          <w:rFonts w:ascii="Courier New" w:hAnsi="Courier New"/>
        </w:rPr>
      </w:pPr>
      <w:r>
        <w:rPr>
          <w:rStyle w:val="C3"/>
          <w:rFonts w:ascii="Courier New" w:hAnsi="Courier New"/>
        </w:rPr>
        <w:t>Visto: El Expediente Nº 1210/01 iniciado por el Sr. Juan Omar Mena solicitando exención de Tasa por Servicios a la Propiedad; y</w:t>
      </w:r>
    </w:p>
    <w:p>
      <w:pPr>
        <w:pStyle w:val="P5"/>
        <w:rPr>
          <w:rStyle w:val="C3"/>
          <w:rFonts w:ascii="Courier New" w:hAnsi="Courier New"/>
        </w:rPr>
      </w:pPr>
    </w:p>
    <w:p>
      <w:pPr>
        <w:pStyle w:val="P1"/>
        <w:rPr>
          <w:rStyle w:val="C3"/>
          <w:rFonts w:ascii="Courier New" w:hAnsi="Courier New"/>
        </w:rPr>
      </w:pPr>
    </w:p>
    <w:p>
      <w:pPr>
        <w:pStyle w:val="P1"/>
        <w:rPr>
          <w:rStyle w:val="C3"/>
          <w:rFonts w:ascii="Courier New" w:hAnsi="Courier New"/>
        </w:rPr>
      </w:pPr>
      <w:r>
        <w:rPr>
          <w:rStyle w:val="C3"/>
          <w:rFonts w:ascii="Courier New" w:hAnsi="Courier New"/>
        </w:rPr>
        <w:t>C O N S I D E R A N D O</w:t>
      </w:r>
    </w:p>
    <w:p>
      <w:pPr>
        <w:rPr>
          <w:rStyle w:val="C3"/>
        </w:rPr>
      </w:pPr>
    </w:p>
    <w:p>
      <w:pPr>
        <w:pStyle w:val="P6"/>
        <w:rPr>
          <w:rStyle w:val="C3"/>
          <w:rFonts w:ascii="Courier New" w:hAnsi="Courier New"/>
        </w:rPr>
      </w:pPr>
    </w:p>
    <w:p>
      <w:pPr>
        <w:pStyle w:val="P6"/>
        <w:rPr>
          <w:rStyle w:val="C3"/>
          <w:rFonts w:ascii="Courier New" w:hAnsi="Courier New"/>
        </w:rPr>
      </w:pPr>
      <w:r>
        <w:rPr>
          <w:rStyle w:val="C3"/>
          <w:rFonts w:ascii="Courier New" w:hAnsi="Courier New"/>
        </w:rPr>
        <w:t>Que por Resolución Nº 203/99 de Dirección de Ingresos Públicos se eximió en un setenta por ciento (70%) hasta el año 1999 inclusive;</w:t>
      </w:r>
    </w:p>
    <w:p>
      <w:pPr>
        <w:pStyle w:val="P6"/>
        <w:rPr>
          <w:rStyle w:val="C3"/>
          <w:rFonts w:ascii="Courier New" w:hAnsi="Courier New"/>
        </w:rPr>
      </w:pPr>
    </w:p>
    <w:p>
      <w:pPr>
        <w:pStyle w:val="P6"/>
        <w:rPr>
          <w:rStyle w:val="C3"/>
          <w:rFonts w:ascii="Courier New" w:hAnsi="Courier New"/>
        </w:rPr>
      </w:pPr>
      <w:r>
        <w:rPr>
          <w:rStyle w:val="C3"/>
          <w:rFonts w:ascii="Courier New" w:hAnsi="Courier New"/>
        </w:rPr>
        <w:t>Que el estudio socioeconómico realizado sugiere que se le otorgue una reducción de la tasa de referencia;</w:t>
      </w:r>
    </w:p>
    <w:p>
      <w:pPr>
        <w:pStyle w:val="P6"/>
        <w:rPr>
          <w:rStyle w:val="C3"/>
          <w:rFonts w:ascii="Courier New" w:hAnsi="Courier New"/>
        </w:rPr>
      </w:pPr>
    </w:p>
    <w:p>
      <w:pPr>
        <w:pStyle w:val="P6"/>
        <w:rPr>
          <w:rStyle w:val="C3"/>
          <w:rFonts w:ascii="Courier New" w:hAnsi="Courier New"/>
        </w:rPr>
      </w:pPr>
      <w:r>
        <w:rPr>
          <w:rStyle w:val="C3"/>
          <w:rFonts w:ascii="Courier New" w:hAnsi="Courier New"/>
        </w:rPr>
        <w:t>Que evaluado el contenido del Expediente por Comisión de Hacienda, la misma emite despacho accediendo a otorgar una exención parcial, despacho aprobado por unanimidad en Sesión de fecha 21 de noviembre de 2002.</w:t>
      </w:r>
    </w:p>
    <w:p>
      <w:pPr>
        <w:pStyle w:val="P6"/>
        <w:rPr>
          <w:rStyle w:val="C3"/>
          <w:rFonts w:ascii="Courier New" w:hAnsi="Courier New"/>
        </w:rPr>
      </w:pPr>
    </w:p>
    <w:p>
      <w:pPr>
        <w:pStyle w:val="P1"/>
        <w:rPr>
          <w:rStyle w:val="C3"/>
          <w:rFonts w:ascii="Courier New" w:hAnsi="Courier New"/>
        </w:rPr>
      </w:pPr>
    </w:p>
    <w:p>
      <w:pPr>
        <w:pStyle w:val="P1"/>
        <w:rPr>
          <w:rStyle w:val="C3"/>
          <w:rFonts w:ascii="Courier New" w:hAnsi="Courier New"/>
        </w:rPr>
      </w:pPr>
      <w:r>
        <w:rPr>
          <w:rStyle w:val="C3"/>
          <w:rFonts w:ascii="Courier New" w:hAnsi="Courier New"/>
        </w:rPr>
        <w:t>EL HONORABLE CONCEJO DELIBERANTE DE LA CIUDAD DE</w:t>
      </w:r>
    </w:p>
    <w:p>
      <w:pPr>
        <w:ind w:left="709"/>
        <w:jc w:val="center"/>
        <w:rPr>
          <w:rStyle w:val="C3"/>
          <w:rFonts w:ascii="Courier New" w:hAnsi="Courier New"/>
          <w:b w:val="1"/>
          <w:sz w:val="24"/>
        </w:rPr>
      </w:pPr>
    </w:p>
    <w:p>
      <w:pPr>
        <w:ind w:left="709"/>
        <w:jc w:val="center"/>
        <w:rPr>
          <w:rStyle w:val="C3"/>
          <w:rFonts w:ascii="Courier New" w:hAnsi="Courier New"/>
          <w:b w:val="1"/>
          <w:sz w:val="24"/>
        </w:rPr>
      </w:pPr>
    </w:p>
    <w:p>
      <w:pPr>
        <w:ind w:left="709"/>
        <w:jc w:val="center"/>
        <w:rPr>
          <w:rStyle w:val="C3"/>
          <w:rFonts w:ascii="Courier New" w:hAnsi="Courier New"/>
          <w:b w:val="1"/>
          <w:sz w:val="24"/>
        </w:rPr>
      </w:pPr>
      <w:r>
        <w:rPr>
          <w:rStyle w:val="C3"/>
          <w:rFonts w:ascii="Courier New" w:hAnsi="Courier New"/>
          <w:b w:val="1"/>
          <w:sz w:val="24"/>
        </w:rPr>
        <w:t>ALTA GRACIA SANCIONA CON FUERZA DE ORDENANZA</w:t>
      </w:r>
    </w:p>
    <w:p>
      <w:pPr>
        <w:ind w:left="709"/>
        <w:jc w:val="center"/>
        <w:rPr>
          <w:rStyle w:val="C3"/>
          <w:rFonts w:ascii="Courier New" w:hAnsi="Courier New"/>
          <w:b w:val="1"/>
          <w:sz w:val="24"/>
        </w:rPr>
      </w:pPr>
    </w:p>
    <w:p>
      <w:pPr>
        <w:ind w:left="709"/>
        <w:jc w:val="center"/>
        <w:rPr>
          <w:rStyle w:val="C3"/>
          <w:rFonts w:ascii="Courier New" w:hAnsi="Courier New"/>
          <w:b w:val="1"/>
          <w:sz w:val="24"/>
        </w:rPr>
      </w:pPr>
    </w:p>
    <w:p>
      <w:pPr>
        <w:ind w:hanging="709" w:left="709"/>
        <w:jc w:val="both"/>
        <w:rPr>
          <w:rStyle w:val="C3"/>
          <w:rFonts w:ascii="Courier New" w:hAnsi="Courier New"/>
          <w:sz w:val="24"/>
        </w:rPr>
      </w:pPr>
      <w:r>
        <w:rPr>
          <w:rStyle w:val="C3"/>
          <w:rFonts w:ascii="Courier New" w:hAnsi="Courier New"/>
          <w:b w:val="1"/>
          <w:sz w:val="24"/>
          <w:u w:val="single"/>
        </w:rPr>
        <w:t>Art.1:</w:t>
      </w:r>
      <w:r>
        <w:rPr>
          <w:rStyle w:val="C3"/>
          <w:rFonts w:ascii="Courier New" w:hAnsi="Courier New"/>
          <w:b w:val="1"/>
          <w:sz w:val="24"/>
        </w:rPr>
        <w:t xml:space="preserve"> </w:t>
      </w:r>
      <w:r>
        <w:rPr>
          <w:rStyle w:val="C3"/>
          <w:rFonts w:ascii="Courier New" w:hAnsi="Courier New"/>
          <w:b w:val="1"/>
          <w:sz w:val="24"/>
        </w:rPr>
        <w:t>E</w:t>
      </w:r>
      <w:r>
        <w:rPr>
          <w:rStyle w:val="C3"/>
          <w:rFonts w:ascii="Courier New" w:hAnsi="Courier New"/>
          <w:b w:val="1"/>
          <w:sz w:val="24"/>
        </w:rPr>
        <w:t>X</w:t>
      </w:r>
      <w:r>
        <w:rPr>
          <w:rStyle w:val="C3"/>
          <w:rFonts w:ascii="Courier New" w:hAnsi="Courier New"/>
          <w:b w:val="1"/>
          <w:sz w:val="24"/>
        </w:rPr>
        <w:t>I</w:t>
      </w:r>
      <w:r>
        <w:rPr>
          <w:rStyle w:val="C3"/>
          <w:rFonts w:ascii="Courier New" w:hAnsi="Courier New"/>
          <w:b w:val="1"/>
          <w:sz w:val="24"/>
        </w:rPr>
        <w:t>M</w:t>
      </w:r>
      <w:r>
        <w:rPr>
          <w:rStyle w:val="C3"/>
          <w:rFonts w:ascii="Courier New" w:hAnsi="Courier New"/>
          <w:b w:val="1"/>
          <w:sz w:val="24"/>
        </w:rPr>
        <w:t>I</w:t>
      </w:r>
      <w:r>
        <w:rPr>
          <w:rStyle w:val="C3"/>
          <w:rFonts w:ascii="Courier New" w:hAnsi="Courier New"/>
          <w:b w:val="1"/>
          <w:sz w:val="24"/>
        </w:rPr>
        <w:t>R</w:t>
      </w:r>
      <w:r>
        <w:rPr>
          <w:rStyle w:val="C3"/>
          <w:rFonts w:ascii="Courier New" w:hAnsi="Courier New"/>
          <w:b w:val="1"/>
          <w:sz w:val="24"/>
        </w:rPr>
        <w:t xml:space="preserve"> </w:t>
      </w:r>
      <w:r>
        <w:rPr>
          <w:rStyle w:val="C3"/>
          <w:rFonts w:ascii="Courier New" w:hAnsi="Courier New"/>
          <w:sz w:val="24"/>
        </w:rPr>
        <w:t>en un setenta por ciento (70%) la deuda correspondiente a los años 2000, 2001 y 2002 de Tasa por Servicios a la Propiedad, al inmueble designación catastral 01-01-237-003-000 y autorizar al Departamento Ejecutivo a otorgar por el treinta por ciento (30%) restante, un plan de pagos acorde a las posibilidades del contribuyente.</w:t>
      </w:r>
    </w:p>
    <w:p>
      <w:pPr>
        <w:ind w:hanging="709" w:left="709"/>
        <w:jc w:val="both"/>
        <w:rPr>
          <w:rStyle w:val="C3"/>
          <w:rFonts w:ascii="Courier New" w:hAnsi="Courier New"/>
          <w:b w:val="1"/>
          <w:sz w:val="24"/>
          <w:u w:val="single"/>
        </w:rPr>
      </w:pPr>
    </w:p>
    <w:p>
      <w:pPr>
        <w:ind w:hanging="709" w:left="709"/>
        <w:jc w:val="both"/>
        <w:rPr>
          <w:rStyle w:val="C3"/>
          <w:rFonts w:ascii="Courier New" w:hAnsi="Courier New"/>
          <w:sz w:val="24"/>
        </w:rPr>
      </w:pPr>
      <w:r>
        <w:rPr>
          <w:rStyle w:val="C3"/>
          <w:rFonts w:ascii="Courier New" w:hAnsi="Courier New"/>
          <w:b w:val="1"/>
          <w:sz w:val="24"/>
          <w:u w:val="single"/>
        </w:rPr>
        <w:t>Art.2:</w:t>
      </w:r>
      <w:r>
        <w:rPr>
          <w:rStyle w:val="C3"/>
          <w:rFonts w:ascii="Courier New" w:hAnsi="Courier New"/>
          <w:b w:val="1"/>
          <w:sz w:val="24"/>
        </w:rPr>
        <w:t xml:space="preserve"> </w:t>
      </w:r>
      <w:r>
        <w:rPr>
          <w:rStyle w:val="C3"/>
          <w:rFonts w:ascii="Courier New" w:hAnsi="Courier New"/>
          <w:b w:val="1"/>
          <w:sz w:val="24"/>
        </w:rPr>
        <w:t>E</w:t>
      </w:r>
      <w:r>
        <w:rPr>
          <w:rStyle w:val="C3"/>
          <w:rFonts w:ascii="Courier New" w:hAnsi="Courier New"/>
          <w:b w:val="1"/>
          <w:sz w:val="24"/>
        </w:rPr>
        <w:t>X</w:t>
      </w:r>
      <w:r>
        <w:rPr>
          <w:rStyle w:val="C3"/>
          <w:rFonts w:ascii="Courier New" w:hAnsi="Courier New"/>
          <w:b w:val="1"/>
          <w:sz w:val="24"/>
        </w:rPr>
        <w:t>I</w:t>
      </w:r>
      <w:r>
        <w:rPr>
          <w:rStyle w:val="C3"/>
          <w:rFonts w:ascii="Courier New" w:hAnsi="Courier New"/>
          <w:b w:val="1"/>
          <w:sz w:val="24"/>
        </w:rPr>
        <w:t>M</w:t>
      </w:r>
      <w:r>
        <w:rPr>
          <w:rStyle w:val="C3"/>
          <w:rFonts w:ascii="Courier New" w:hAnsi="Courier New"/>
          <w:b w:val="1"/>
          <w:sz w:val="24"/>
        </w:rPr>
        <w:t>I</w:t>
      </w:r>
      <w:r>
        <w:rPr>
          <w:rStyle w:val="C3"/>
          <w:rFonts w:ascii="Courier New" w:hAnsi="Courier New"/>
          <w:b w:val="1"/>
          <w:sz w:val="24"/>
        </w:rPr>
        <w:t>R</w:t>
      </w:r>
      <w:r>
        <w:rPr>
          <w:rStyle w:val="C3"/>
          <w:rFonts w:ascii="Courier New" w:hAnsi="Courier New"/>
          <w:b w:val="1"/>
          <w:sz w:val="24"/>
        </w:rPr>
        <w:t xml:space="preserve"> </w:t>
      </w:r>
      <w:r>
        <w:rPr>
          <w:rStyle w:val="C3"/>
          <w:rFonts w:ascii="Courier New" w:hAnsi="Courier New"/>
          <w:sz w:val="24"/>
        </w:rPr>
        <w:t>en un setenta por ciento (70%) las cuotas correspondientes al año 2003 al inmueble designación catastral 01-01-237-003-000.</w:t>
      </w:r>
    </w:p>
    <w:p>
      <w:pPr>
        <w:ind w:hanging="709" w:left="709"/>
        <w:jc w:val="both"/>
        <w:rPr>
          <w:rStyle w:val="C3"/>
          <w:rFonts w:ascii="Courier New" w:hAnsi="Courier New"/>
          <w:b w:val="1"/>
          <w:sz w:val="24"/>
          <w:u w:val="single"/>
        </w:rPr>
      </w:pPr>
    </w:p>
    <w:p>
      <w:pPr>
        <w:ind w:hanging="709" w:left="709"/>
        <w:jc w:val="both"/>
        <w:rPr>
          <w:rStyle w:val="C3"/>
          <w:rFonts w:ascii="Courier New" w:hAnsi="Courier New"/>
          <w:sz w:val="24"/>
        </w:rPr>
      </w:pPr>
      <w:r>
        <w:rPr>
          <w:rStyle w:val="C3"/>
          <w:rFonts w:ascii="Courier New" w:hAnsi="Courier New"/>
          <w:b w:val="1"/>
          <w:sz w:val="24"/>
          <w:u w:val="single"/>
        </w:rPr>
        <w:t>Art.3:</w:t>
      </w:r>
      <w:r>
        <w:rPr>
          <w:rStyle w:val="C3"/>
          <w:rFonts w:ascii="Courier New" w:hAnsi="Courier New"/>
          <w:b w:val="1"/>
          <w:sz w:val="24"/>
        </w:rPr>
        <w:t xml:space="preserve"> EN </w:t>
      </w:r>
      <w:r>
        <w:rPr>
          <w:rStyle w:val="C3"/>
          <w:rFonts w:ascii="Courier New" w:hAnsi="Courier New"/>
          <w:sz w:val="24"/>
        </w:rPr>
        <w:t>caso de transferencia del inmueble designación catastral 01-01-237-003-000 el beneficio otorgado en la presente Ordenanza quedará sin efecto en forma automática.</w:t>
      </w:r>
    </w:p>
    <w:p>
      <w:pPr>
        <w:ind w:hanging="709" w:left="709"/>
        <w:jc w:val="right"/>
        <w:rPr>
          <w:rStyle w:val="C3"/>
          <w:rFonts w:ascii="Courier New" w:hAnsi="Courier New"/>
          <w:sz w:val="24"/>
        </w:rPr>
      </w:pPr>
      <w:r>
        <w:rPr>
          <w:rStyle w:val="C3"/>
          <w:rFonts w:ascii="Courier New" w:hAnsi="Courier New"/>
          <w:sz w:val="24"/>
        </w:rPr>
        <w:t>...///</w:t>
      </w:r>
    </w:p>
    <w:p>
      <w:pPr>
        <w:ind w:hanging="709" w:left="709"/>
        <w:jc w:val="both"/>
        <w:rPr>
          <w:rStyle w:val="C3"/>
          <w:rFonts w:ascii="Courier New" w:hAnsi="Courier New"/>
          <w:b w:val="1"/>
          <w:sz w:val="24"/>
          <w:u w:val="single"/>
        </w:rPr>
      </w:pPr>
    </w:p>
    <w:p>
      <w:pPr>
        <w:ind w:hanging="709" w:left="709"/>
        <w:jc w:val="both"/>
        <w:rPr>
          <w:rStyle w:val="C3"/>
          <w:rFonts w:ascii="Courier New" w:hAnsi="Courier New"/>
          <w:b w:val="1"/>
          <w:sz w:val="24"/>
          <w:u w:val="single"/>
        </w:rPr>
      </w:pPr>
    </w:p>
    <w:p>
      <w:pPr>
        <w:ind w:hanging="709" w:left="709"/>
        <w:jc w:val="both"/>
        <w:rPr>
          <w:rStyle w:val="C3"/>
          <w:rFonts w:ascii="Courier New" w:hAnsi="Courier New"/>
          <w:b w:val="1"/>
          <w:sz w:val="24"/>
          <w:u w:val="single"/>
        </w:rPr>
      </w:pPr>
    </w:p>
    <w:p>
      <w:pPr>
        <w:ind w:hanging="709" w:left="709"/>
        <w:jc w:val="both"/>
        <w:rPr>
          <w:rStyle w:val="C3"/>
          <w:rFonts w:ascii="Courier New" w:hAnsi="Courier New"/>
          <w:b w:val="1"/>
          <w:sz w:val="24"/>
          <w:u w:val="single"/>
        </w:rPr>
      </w:pPr>
    </w:p>
    <w:p>
      <w:pPr>
        <w:ind w:hanging="709" w:left="709"/>
        <w:jc w:val="both"/>
        <w:rPr>
          <w:rStyle w:val="C3"/>
          <w:rFonts w:ascii="Courier New" w:hAnsi="Courier New"/>
          <w:sz w:val="24"/>
        </w:rPr>
      </w:pPr>
      <w:r>
        <w:rPr>
          <w:rStyle w:val="C3"/>
          <w:rFonts w:ascii="Courier New" w:hAnsi="Courier New"/>
          <w:sz w:val="24"/>
        </w:rPr>
        <w:t>...///2.-</w:t>
      </w:r>
    </w:p>
    <w:p>
      <w:pPr>
        <w:ind w:hanging="709" w:left="709"/>
        <w:jc w:val="both"/>
        <w:rPr>
          <w:rStyle w:val="C3"/>
          <w:rFonts w:ascii="Courier New" w:hAnsi="Courier New"/>
          <w:b w:val="1"/>
          <w:sz w:val="24"/>
          <w:u w:val="single"/>
        </w:rPr>
      </w:pPr>
    </w:p>
    <w:p>
      <w:pPr>
        <w:ind w:hanging="709" w:left="709"/>
        <w:jc w:val="both"/>
        <w:rPr>
          <w:rStyle w:val="C3"/>
          <w:rFonts w:ascii="Courier New" w:hAnsi="Courier New"/>
          <w:b w:val="1"/>
          <w:sz w:val="24"/>
          <w:u w:val="single"/>
        </w:rPr>
      </w:pPr>
    </w:p>
    <w:p>
      <w:pPr>
        <w:ind w:hanging="709" w:left="709"/>
        <w:jc w:val="both"/>
        <w:rPr>
          <w:rStyle w:val="C3"/>
          <w:rFonts w:ascii="Courier New" w:hAnsi="Courier New"/>
          <w:b w:val="1"/>
          <w:sz w:val="24"/>
          <w:u w:val="single"/>
        </w:rPr>
      </w:pPr>
    </w:p>
    <w:p>
      <w:pPr>
        <w:ind w:hanging="709" w:left="709"/>
        <w:jc w:val="both"/>
        <w:rPr>
          <w:rStyle w:val="C3"/>
          <w:rFonts w:ascii="Courier New" w:hAnsi="Courier New"/>
          <w:b w:val="1"/>
          <w:sz w:val="24"/>
          <w:u w:val="single"/>
        </w:rPr>
      </w:pPr>
    </w:p>
    <w:p>
      <w:pPr>
        <w:ind w:hanging="709" w:left="709"/>
        <w:jc w:val="both"/>
        <w:rPr>
          <w:rStyle w:val="C3"/>
          <w:rFonts w:ascii="Courier New" w:hAnsi="Courier New"/>
          <w:sz w:val="24"/>
        </w:rPr>
      </w:pPr>
      <w:r>
        <w:rPr>
          <w:rStyle w:val="C3"/>
          <w:rFonts w:ascii="Courier New" w:hAnsi="Courier New"/>
          <w:b w:val="1"/>
          <w:sz w:val="24"/>
          <w:u w:val="single"/>
        </w:rPr>
        <w:t>Art.</w:t>
      </w:r>
      <w:r>
        <w:rPr>
          <w:rStyle w:val="C3"/>
          <w:rFonts w:ascii="Courier New" w:hAnsi="Courier New"/>
          <w:b w:val="1"/>
          <w:sz w:val="24"/>
          <w:u w:val="single"/>
        </w:rPr>
        <w:t>4</w:t>
      </w:r>
      <w:r>
        <w:rPr>
          <w:rStyle w:val="C3"/>
          <w:rFonts w:ascii="Courier New" w:hAnsi="Courier New"/>
          <w:b w:val="1"/>
          <w:sz w:val="24"/>
          <w:u w:val="single"/>
        </w:rPr>
        <w:t>:</w:t>
      </w:r>
      <w:r>
        <w:rPr>
          <w:rStyle w:val="C3"/>
          <w:rFonts w:ascii="Courier New" w:hAnsi="Courier New"/>
          <w:b w:val="1"/>
          <w:sz w:val="24"/>
        </w:rPr>
        <w:t xml:space="preserve"> COMUNÍQUESE,</w:t>
      </w:r>
      <w:r>
        <w:rPr>
          <w:rStyle w:val="C3"/>
          <w:rFonts w:ascii="Courier New" w:hAnsi="Courier New"/>
          <w:sz w:val="24"/>
        </w:rPr>
        <w:t xml:space="preserve"> publíquese, transcríbase al Libro de Ordenanzas y archívese.</w:t>
      </w:r>
    </w:p>
    <w:p>
      <w:pPr>
        <w:ind w:hanging="709" w:left="709"/>
        <w:jc w:val="both"/>
        <w:rPr>
          <w:rStyle w:val="C3"/>
          <w:rFonts w:ascii="Courier New" w:hAnsi="Courier New"/>
          <w:b w:val="1"/>
          <w:sz w:val="24"/>
          <w:u w:val="single"/>
        </w:rPr>
      </w:pPr>
    </w:p>
    <w:p>
      <w:pPr>
        <w:ind w:hanging="709" w:left="709"/>
        <w:jc w:val="both"/>
        <w:rPr>
          <w:rStyle w:val="C3"/>
          <w:rFonts w:ascii="Courier New" w:hAnsi="Courier New"/>
          <w:sz w:val="24"/>
        </w:rPr>
      </w:pPr>
    </w:p>
    <w:p>
      <w:pPr>
        <w:pStyle w:val="P7"/>
        <w:rPr>
          <w:rStyle w:val="C3"/>
          <w:rFonts w:ascii="Courier New" w:hAnsi="Courier New"/>
        </w:rPr>
      </w:pPr>
    </w:p>
    <w:p>
      <w:pPr>
        <w:pStyle w:val="P7"/>
        <w:rPr>
          <w:rStyle w:val="C3"/>
          <w:rFonts w:ascii="Courier New" w:hAnsi="Courier New"/>
        </w:rPr>
      </w:pPr>
    </w:p>
    <w:p>
      <w:pPr>
        <w:pStyle w:val="P7"/>
        <w:rPr>
          <w:rStyle w:val="C3"/>
          <w:rFonts w:ascii="Courier New" w:hAnsi="Courier New"/>
        </w:rPr>
      </w:pPr>
    </w:p>
    <w:p>
      <w:pPr>
        <w:pStyle w:val="P7"/>
        <w:rPr>
          <w:rStyle w:val="C3"/>
          <w:rFonts w:ascii="Courier New" w:hAnsi="Courier New"/>
        </w:rPr>
      </w:pPr>
    </w:p>
    <w:p>
      <w:pPr>
        <w:pStyle w:val="P7"/>
        <w:rPr>
          <w:rStyle w:val="C3"/>
          <w:rFonts w:ascii="Courier New" w:hAnsi="Courier New"/>
        </w:rPr>
      </w:pPr>
    </w:p>
    <w:p>
      <w:pPr>
        <w:pStyle w:val="P7"/>
        <w:rPr>
          <w:rStyle w:val="C3"/>
          <w:rFonts w:ascii="Courier New" w:hAnsi="Courier New"/>
        </w:rPr>
      </w:pPr>
    </w:p>
    <w:p>
      <w:pPr>
        <w:pStyle w:val="P7"/>
        <w:rPr>
          <w:rStyle w:val="C3"/>
          <w:rFonts w:ascii="Courier New" w:hAnsi="Courier New"/>
        </w:rPr>
      </w:pPr>
      <w:r>
        <w:rPr>
          <w:rStyle w:val="C3"/>
          <w:rFonts w:ascii="Courier New" w:hAnsi="Courier New"/>
        </w:rPr>
        <w:t>DADA EN LA SALA DE SESIONES DEL HONORABLE CONCEJO DELIBERANTE A VEINTIUN DIAS DEL MES DE NOVIEMBRE DEL AÑO DOS MIL DOS.</w:t>
      </w:r>
    </w:p>
    <w:sectPr>
      <w:type w:val="nextPage"/>
      <w:pgMar w:left="1701" w:right="1701" w:top="1417" w:bottom="1417" w:header="708" w:footer="708" w:gutter="0"/>
    </w:sectPr>
  </w:body>
</w:document>
</file>

<file path=word/numbering.xml><?xml version="1.0" encoding="utf-8"?>
<w:numbering xmlns:w="http://schemas.openxmlformats.org/wordprocessingml/2006/main"/>
</file>

<file path=word/settings.xml><?xml version="1.0" encoding="utf-8"?>
<w:settings xmlns:w="http://schemas.openxmlformats.org/wordprocessingml/2006/main">
  <w:displayBackgroundShape w:val="0"/>
  <w:documentProtection w:enforcement="1"/>
  <w:defaultTabStop w:val="720"/>
  <w:autoHyphenation w:val="0"/>
  <w:evenAndOddHeaders w:val="0"/>
  <w:compat/>
  <w:clrSchemeMapping w:bg1="light1" w:t1="dark1" w:bg2="light2" w:t2="dark2" w:accent1="accent1" w:accent2="accent2" w:accent3="accent3" w:accent4="accent4" w:accent5="accent5" w:accent6="accent6" w:hyperlink="hyperlink" w:followedHyperlink="followedHyperlink"/>
</w:settings>
</file>

<file path=word/styles.xml><?xml version="1.0" encoding="utf-8"?>
<w:styles xmlns:w="http://schemas.openxmlformats.org/wordprocessingml/2006/main">
  <w:docDefaults>
    <w:rPrDefault>
      <w:rPr>
        <w:rFonts w:ascii="Times New Roman" w:hAnsi="Times New Roman"/>
        <w:b w:val="0"/>
        <w:i w:val="0"/>
        <w:caps w:val="0"/>
        <w:strike w:val="0"/>
        <w:noProof w:val="0"/>
        <w:vanish w:val="0"/>
        <w:color w:val="auto"/>
        <w:sz w:val="22"/>
        <w:u w:val="none"/>
        <w:shd w:val="clear" w:color="auto" w:fill="auto"/>
        <w:vertAlign w:val="baseline"/>
        <w:lang/>
      </w:rPr>
    </w:rPrDefault>
    <w:pPrDefault>
      <w:pPr>
        <w:keepNext w:val="0"/>
        <w:keepLines w:val="0"/>
        <w:widowControl w:val="1"/>
        <w:suppressLineNumbers w:val="0"/>
        <w:shd w:val="clear" w:fill="auto"/>
        <w:suppressAutoHyphens w:val="0"/>
        <w:spacing w:lineRule="auto" w:line="240" w:before="0" w:after="0" w:beforeAutospacing="0" w:afterAutospacing="0"/>
        <w:ind w:firstLine="0" w:left="0" w:right="0"/>
        <w:contextualSpacing w:val="0"/>
        <w:jc w:val="left"/>
      </w:pPr>
    </w:pPrDefault>
  </w:docDefaults>
  <w:style w:type="paragraph" w:styleId="P0" w:default="1">
    <w:name w:val="Normal"/>
    <w:next w:val="P0"/>
    <w:pPr/>
    <w:rPr>
      <w:sz w:val="20"/>
    </w:rPr>
  </w:style>
  <w:style w:type="paragraph" w:styleId="P1">
    <w:name w:val="Título 1"/>
    <w:basedOn w:val="P0"/>
    <w:next w:val="P0"/>
    <w:pPr>
      <w:keepNext w:val="1"/>
      <w:ind w:left="709"/>
      <w:jc w:val="center"/>
      <w:outlineLvl w:val="0"/>
    </w:pPr>
    <w:rPr>
      <w:b w:val="1"/>
      <w:sz w:val="24"/>
    </w:rPr>
  </w:style>
  <w:style w:type="paragraph" w:styleId="P2">
    <w:name w:val="Encabezado"/>
    <w:basedOn w:val="P0"/>
    <w:next w:val="P2"/>
    <w:pPr>
      <w:tabs>
        <w:tab w:val="center" w:pos="4419" w:leader="none"/>
        <w:tab w:val="right" w:pos="8838" w:leader="none"/>
      </w:tabs>
    </w:pPr>
    <w:rPr/>
  </w:style>
  <w:style w:type="paragraph" w:styleId="P3">
    <w:name w:val="Pie de página"/>
    <w:basedOn w:val="P0"/>
    <w:next w:val="P3"/>
    <w:pPr>
      <w:tabs>
        <w:tab w:val="center" w:pos="4419" w:leader="none"/>
        <w:tab w:val="right" w:pos="8838" w:leader="none"/>
      </w:tabs>
    </w:pPr>
    <w:rPr/>
  </w:style>
  <w:style w:type="paragraph" w:styleId="P4">
    <w:name w:val="Título"/>
    <w:basedOn w:val="P0"/>
    <w:next w:val="P4"/>
    <w:pPr>
      <w:jc w:val="center"/>
    </w:pPr>
    <w:rPr>
      <w:b w:val="1"/>
      <w:sz w:val="24"/>
      <w:u w:val="single"/>
    </w:rPr>
  </w:style>
  <w:style w:type="paragraph" w:styleId="P5">
    <w:name w:val="Sangría de t. independiente"/>
    <w:basedOn w:val="P0"/>
    <w:next w:val="P5"/>
    <w:pPr>
      <w:ind w:hanging="709" w:left="709"/>
      <w:jc w:val="both"/>
    </w:pPr>
    <w:rPr>
      <w:sz w:val="24"/>
    </w:rPr>
  </w:style>
  <w:style w:type="paragraph" w:styleId="P6">
    <w:name w:val="Sangría 2 de t. independiente"/>
    <w:basedOn w:val="P0"/>
    <w:next w:val="P6"/>
    <w:pPr>
      <w:ind w:left="709"/>
      <w:jc w:val="both"/>
    </w:pPr>
    <w:rPr>
      <w:sz w:val="24"/>
    </w:rPr>
  </w:style>
  <w:style w:type="paragraph" w:styleId="P7">
    <w:name w:val="Texto independiente"/>
    <w:basedOn w:val="P0"/>
    <w:next w:val="P7"/>
    <w:pPr>
      <w:jc w:val="both"/>
    </w:pPr>
    <w:rPr>
      <w:b w:val="1"/>
      <w:sz w:val="24"/>
    </w:rPr>
  </w:style>
  <w:style w:type="character" w:styleId="C0" w:default="1">
    <w:name w:val="Default Paragraph Font"/>
    <w:semiHidden/>
    <w:rPr/>
  </w:style>
  <w:style w:type="character" w:styleId="C1">
    <w:name w:val="Line Number"/>
    <w:basedOn w:val="C0"/>
    <w:semiHidden/>
    <w:rPr/>
  </w:style>
  <w:style w:type="character" w:styleId="C2">
    <w:name w:val="Hyperlink"/>
    <w:rPr>
      <w:color w:val="0000FF"/>
      <w:u w:val="single"/>
    </w:rPr>
  </w:style>
  <w:style w:type="character" w:styleId="C3">
    <w:name w:val="Fuente de párrafo predeter."/>
    <w:rPr/>
  </w:style>
  <w:style w:type="table" w:styleId="T0" w:default="1">
    <w:name w:val="Normal Table"/>
    <w:tblPr>
      <w:tblCellMar>
        <w:top w:w="0" w:type="dxa"/>
        <w:left w:w="108" w:type="dxa"/>
        <w:bottom w:w="0" w:type="dxa"/>
        <w:right w:w="108" w:type="dxa"/>
      </w:tblCellMar>
    </w:tblPr>
    <w:trPr/>
    <w:tcPr/>
  </w:style>
  <w:style w:type="table" w:styleId="T1">
    <w:name w:val="Table Simple 1"/>
    <w:basedOn w:val="T0"/>
    <w:tblPr>
      <w:tblBorders>
        <w:top w:val="single" w:sz="4" w:space="0" w:shadow="0" w:frame="0" w:color="000000"/>
        <w:left w:val="single" w:sz="4" w:space="0" w:shadow="0" w:frame="0" w:color="000000"/>
        <w:bottom w:val="single" w:sz="4" w:space="0" w:shadow="0" w:frame="0" w:color="000000"/>
        <w:right w:val="single" w:sz="4" w:space="0" w:shadow="0" w:frame="0" w:color="000000"/>
        <w:insideH w:val="single" w:sz="4" w:space="0" w:shadow="0" w:frame="0" w:color="000000"/>
        <w:insideV w:val="single" w:sz="4" w:space="0" w:shadow="0" w:frame="0" w:color="000000"/>
      </w:tblBorders>
      <w:tblCellMar>
        <w:top w:w="0" w:type="dxa"/>
        <w:left w:w="108" w:type="dxa"/>
        <w:bottom w:w="0" w:type="dxa"/>
        <w:right w:w="108" w:type="dxa"/>
      </w:tblCellMar>
    </w:tblPr>
    <w:trPr/>
    <w:tcPr/>
  </w:style>
</w:styles>
</file>

<file path=word/_rels/document.xml.rels>&#65279;<?xml version="1.0" encoding="utf-8"?><Relationships xmlns="http://schemas.openxmlformats.org/package/2006/relationships"><Relationship Id="RelStyle1" Type="http://schemas.openxmlformats.org/officeDocument/2006/relationships/styles" Target="styles.xml" /><Relationship Id="RelNum1" Type="http://schemas.openxmlformats.org/officeDocument/2006/relationships/numbering" Target="numbering.xml" /><Relationship Id="RelSettings1" Type="http://schemas.openxmlformats.org/officeDocument/2006/relationships/settings" Target="settings.xml" /><Relationship Id="RelTheme1" Type="http://schemas.openxmlformats.org/officeDocument/2006/relationships/theme" Target="theme/theme1.xml" 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/>
      </a:dk1>
      <a:lt1>
        <a:sysClr val="window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mbria"/>
        <a:ea typeface=""/>
        <a:cs typeface=""/>
        <a:font script="Jpan" typeface="ＭＳ Ｐ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Tahoma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/>
        <a:ea typeface=""/>
        <a:cs typeface=""/>
        <a:font script="Jpan" typeface="ＭＳ Ｐゴシック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Tahoma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shade val="51000"/>
                <a:satMod val="130000"/>
              </a:schemeClr>
            </a:gs>
            <a:gs pos="80000">
              <a:schemeClr val="phClr">
                <a:shade val="93000"/>
                <a:satMod val="130000"/>
              </a:schemeClr>
            </a:gs>
            <a:gs pos="100000">
              <a:schemeClr val="phClr">
                <a:shade val="94000"/>
                <a:satMod val="135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/>
  <a:extraClrSchemeLst/>
</a:theme>
</file>

<file path=docProps/core.xml><?xml version="1.0" encoding="utf-8"?>
<cp:coreProperties xmlns:dc="http://purl.org/dc/elements/1.1/" xmlns:dcterms="http://purl.org/dc/terms/" xmlns:dcmitype="http://purl.org/dc/dcmitype/" xmlns:xsi="http://www.w3.org/2001/XMLSchema-instance" xmlns:cp="http://schemas.openxmlformats.org/package/2006/metadata/core-properties">
  <dc:creator>M.A.G.</dc:creator>
  <dcterms:created xsi:type="dcterms:W3CDTF">2002-11-26T12:51:00Z</dcterms:created>
  <cp:lastModifiedBy>Ethan Puglia</cp:lastModifiedBy>
  <cp:lastPrinted>2002-11-25T13:45:00Z</cp:lastPrinted>
  <dcterms:modified xsi:type="dcterms:W3CDTF">2019-03-28T17:33:46Z</dcterms:modified>
  <cp:revision>8</cp:revision>
  <dc:title>ORDENANZA  Nº  5354</dc:title>
</cp:coreProperties>
</file>