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2F2A65F" Type="http://schemas.openxmlformats.org/officeDocument/2006/relationships/officeDocument" Target="/word/document.xml" /><Relationship Id="coreR52F2A65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5986</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gran preocupación del pueblo y gobierno de la ciudad de Alta Gracia por la situación actual del Parque García Lorca;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predio en el que se emplaza el Parque García Lorca se encuentra comprendido en la Quiebra de la Compañía de Tierras y Hoteles, titular dominial del mismo;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desde el año 1987 ese predio es de la comunidad toda y funciona un parque recreativo y deportivo, habiendo sido declarado de Utilidad Pública y Sujeto a Expropiación mediante Ordenanza Nº 1810, sancionada el 30 de marzo de 1987;</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posible pérdida de un predio tan caro a los altagracienses ha provocado la reacción de todo el pueblo de la ciudad de Alta Gracia que ha expresado su voluntad de preservarlo para toda la comunidad a través de un registro de miles de firmas que respaldan el accionar de todo el Gobierno Municipal en las gestiones emprendidas desde hace ya un tiempo para lograr conservar definitivamente este lugar para el uso de todos los habitantes de Alta Gracia y de aquellos que nos visiten;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totalidad de las firmas registradas serán enviadas al Juez que interviene en la Quiebra de la Compañía de Tierras y Hoteles, como una demostración del anhelo del pueblo de la Ciudad de Alta Gracia de mantener como propio tan preciado lugar;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debido a la importancia y envergadura que representa la posesión definitiva del Parque García Lorca, este Honorable Concejo Deliberante cree conveniente reafirmar en todos sus términos la Ordenanza Nº 1810 Sancionada el 30 de marzo de 1987.</w:t>
      </w:r>
    </w:p>
    <w:p>
      <w:pPr>
        <w:pStyle w:val="P6"/>
        <w:rPr>
          <w:rStyle w:val="C3"/>
          <w:rFonts w:ascii="Courier New" w:hAnsi="Courier New"/>
        </w:rPr>
      </w:pPr>
      <w:r>
        <w:rPr>
          <w:rStyle w:val="C3"/>
          <w:rFonts w:ascii="Courier New" w:hAnsi="Courier New"/>
        </w:rPr>
        <w:t>...///</w:t>
      </w:r>
    </w:p>
    <w:p>
      <w:pPr>
        <w:pStyle w:val="P6"/>
        <w:rPr>
          <w:rStyle w:val="C3"/>
          <w:rFonts w:ascii="Courier New" w:hAnsi="Courier New"/>
        </w:rPr>
      </w:pPr>
    </w:p>
    <w:p>
      <w:pPr>
        <w:pStyle w:val="P1"/>
        <w:rPr>
          <w:rStyle w:val="C3"/>
          <w:rFonts w:ascii="Courier New" w:hAnsi="Courier New"/>
        </w:rPr>
      </w:pPr>
    </w:p>
    <w:p>
      <w:pPr>
        <w:pStyle w:val="P1"/>
        <w:ind w:hanging="709"/>
        <w:jc w:val="left"/>
        <w:rPr>
          <w:rStyle w:val="C3"/>
          <w:rFonts w:ascii="Courier New" w:hAnsi="Courier New"/>
          <w:b w:val="1"/>
        </w:rPr>
      </w:pPr>
      <w:r>
        <w:rPr>
          <w:rStyle w:val="C3"/>
          <w:rFonts w:ascii="Courier New" w:hAnsi="Courier New"/>
          <w:b w:val="0"/>
        </w:rPr>
        <w:t>...///2.-</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R</w:t>
      </w:r>
      <w:r>
        <w:rPr>
          <w:rStyle w:val="C3"/>
          <w:rFonts w:ascii="Courier New" w:hAnsi="Courier New"/>
          <w:b w:val="1"/>
          <w:sz w:val="24"/>
        </w:rPr>
        <w:t>A</w:t>
      </w:r>
      <w:r>
        <w:rPr>
          <w:rStyle w:val="C3"/>
          <w:rFonts w:ascii="Courier New" w:hAnsi="Courier New"/>
          <w:b w:val="1"/>
          <w:sz w:val="24"/>
        </w:rPr>
        <w:t>T</w:t>
      </w:r>
      <w:r>
        <w:rPr>
          <w:rStyle w:val="C3"/>
          <w:rFonts w:ascii="Courier New" w:hAnsi="Courier New"/>
          <w:b w:val="1"/>
          <w:sz w:val="24"/>
        </w:rPr>
        <w:t>I</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A</w:t>
      </w:r>
      <w:r>
        <w:rPr>
          <w:rStyle w:val="C3"/>
          <w:rFonts w:ascii="Courier New" w:hAnsi="Courier New"/>
          <w:b w:val="1"/>
          <w:sz w:val="24"/>
        </w:rPr>
        <w:t>SE</w:t>
      </w:r>
      <w:r>
        <w:rPr>
          <w:rStyle w:val="C3"/>
          <w:rFonts w:ascii="Courier New" w:hAnsi="Courier New"/>
          <w:b w:val="1"/>
          <w:sz w:val="24"/>
        </w:rPr>
        <w:t xml:space="preserve"> </w:t>
      </w:r>
      <w:r>
        <w:rPr>
          <w:rStyle w:val="C3"/>
          <w:rFonts w:ascii="Courier New" w:hAnsi="Courier New"/>
          <w:sz w:val="24"/>
        </w:rPr>
        <w:t xml:space="preserve">en todos sus términos la Ordenanza Nº 1810 Declarando de Utilidad Pública y Sujeto a Expropiación el inmueble que se detalla a continuación: Quinta Anchorena correspondiente a la Fracción 10, Circ. 1, Sección 1, limita </w:t>
      </w:r>
      <w:r>
        <w:rPr>
          <w:rStyle w:val="C3"/>
          <w:rFonts w:ascii="Courier New" w:hAnsi="Courier New"/>
          <w:sz w:val="24"/>
          <w:u w:val="single"/>
        </w:rPr>
        <w:t>al Norte</w:t>
      </w:r>
      <w:r>
        <w:rPr>
          <w:rStyle w:val="C3"/>
          <w:rFonts w:ascii="Courier New" w:hAnsi="Courier New"/>
          <w:sz w:val="24"/>
        </w:rPr>
        <w:t xml:space="preserve"> con la manzana P. y ex-Contitería Tobruk-poligonal R9; R8; R7; R6; R5; R4; R2; R27 de Barrio El Golf; </w:t>
      </w:r>
      <w:r>
        <w:rPr>
          <w:rStyle w:val="C3"/>
          <w:rFonts w:ascii="Courier New" w:hAnsi="Courier New"/>
          <w:sz w:val="24"/>
          <w:u w:val="single"/>
        </w:rPr>
        <w:t>al Este</w:t>
      </w:r>
      <w:r>
        <w:rPr>
          <w:rStyle w:val="C3"/>
          <w:rFonts w:ascii="Courier New" w:hAnsi="Courier New"/>
          <w:sz w:val="24"/>
        </w:rPr>
        <w:t xml:space="preserve"> con calle Federico García Lorca (Poligonal R21; R22; R23; R24; R25; R27) </w:t>
      </w:r>
      <w:r>
        <w:rPr>
          <w:rStyle w:val="C3"/>
          <w:rFonts w:ascii="Courier New" w:hAnsi="Courier New"/>
          <w:sz w:val="24"/>
          <w:u w:val="single"/>
        </w:rPr>
        <w:t>al Oeste</w:t>
      </w:r>
      <w:r>
        <w:rPr>
          <w:rStyle w:val="C3"/>
          <w:rFonts w:ascii="Courier New" w:hAnsi="Courier New"/>
          <w:sz w:val="24"/>
        </w:rPr>
        <w:t xml:space="preserve"> con Pileta Olímpica, Arroyo Alta Gracia y de la Buena Esperanza; (Poligonal R9; R10; R11; R12; R13; R13’; R14’; R15’ y </w:t>
      </w:r>
      <w:r>
        <w:rPr>
          <w:rStyle w:val="C3"/>
          <w:rFonts w:ascii="Courier New" w:hAnsi="Courier New"/>
          <w:sz w:val="24"/>
          <w:u w:val="single"/>
        </w:rPr>
        <w:t>al Sur</w:t>
      </w:r>
      <w:r>
        <w:rPr>
          <w:rStyle w:val="C3"/>
          <w:rFonts w:ascii="Courier New" w:hAnsi="Courier New"/>
          <w:sz w:val="24"/>
        </w:rPr>
        <w:t xml:space="preserve"> con Avda. Carlos Pellegrini (Poligonal R14’; R16)haciendo una superficie de diez hectáreas (10 ha.), ocho mil doscientos treinta y dos metros cuadrados (8.232 m²).</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 xml:space="preserve">AFECTASE </w:t>
      </w:r>
      <w:r>
        <w:rPr>
          <w:rStyle w:val="C3"/>
          <w:rFonts w:ascii="Courier New" w:hAnsi="Courier New"/>
          <w:sz w:val="24"/>
        </w:rPr>
        <w:t>el inmueble descripto en el Art. 1 a Parque Recreativo y Deportivo de la Ciudad de Alta Gracia.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w:t>
      </w:r>
      <w:r>
        <w:rPr>
          <w:rStyle w:val="C3"/>
          <w:rFonts w:ascii="Courier New" w:hAnsi="Courier New"/>
          <w:b w:val="1"/>
          <w:sz w:val="24"/>
        </w:rPr>
        <w:t>REMÍTANSE</w:t>
      </w:r>
      <w:r>
        <w:rPr>
          <w:rStyle w:val="C3"/>
          <w:rFonts w:ascii="Courier New" w:hAnsi="Courier New"/>
          <w:sz w:val="24"/>
        </w:rPr>
        <w:t xml:space="preserve"> al Juzgado Nacional de Primera Instancia en lo Comercial Nº 14 – Secretaría Nº 28, donde tramita la Quiebra de la Compañía de Tierras y Hoteles, las firmas registradas de los vecinos de la Ciudad de Alta Gracia y zona de influencia como testimonio de la voluntad de todo un pueblo de preservar el Parque García Lorca. </w:t>
      </w:r>
      <w:r>
        <w:rPr>
          <w:rStyle w:val="C3"/>
          <w:rFonts w:ascii="Courier New" w:hAnsi="Courier New"/>
          <w:b w:val="1"/>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VEINTIUN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2002-11-25T11:54:00Z</dcterms:created>
  <cp:lastModifiedBy>Ethan Puglia</cp:lastModifiedBy>
  <cp:lastPrinted>2002-11-25T11:44:00Z</cp:lastPrinted>
  <dcterms:modified xsi:type="dcterms:W3CDTF">2019-03-28T17:33:46Z</dcterms:modified>
  <cp:revision>14</cp:revision>
  <dc:title>ORDENANZA  Nº  5354</dc:title>
</cp:coreProperties>
</file>